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KJG (Bayern)</w:t>
      </w:r>
    </w:p>
    <w:p>
      <w:r>
        <w:rPr>
          <w:color w:val="555555"/>
          <w:sz w:val="18"/>
        </w:rPr>
        <w:t xml:space="preserve">Gesetz über Anforderungen an den Lärmschutz bei Kinder- und Jugendspieleinrichtungen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KJG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https://recht.nulegal.eu/gesetze/KJG/eingangsformel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