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KJG (Bayern) — Maßnahmen</w:t>
      </w:r>
    </w:p>
    <w:p>
      <w:r>
        <w:rPr>
          <w:color w:val="555555"/>
          <w:sz w:val="18"/>
        </w:rPr>
        <w:t xml:space="preserve">Gesetz über Anforderungen an den Lärmschutz bei Kinder- und Jugendspieleinrichtungen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Zur Erfüllung der Anforderungen nach Art. 3 Abs. 2 kommen insbesondere in Betracht:</w:t>
      </w:r>
    </w:p>
    <w:p>
      <w:r>
        <w:t xml:space="preserve">1. technische und bauliche Schallschutzmaßnahmen durchzuführen,</w:t>
      </w:r>
    </w:p>
    <w:p>
      <w:r>
        <w:t xml:space="preserve">2. Vorkehrungen zu treffen, dass keine übermäßig lärmerzeugenden Geräte verwendet werden, und</w:t>
      </w:r>
    </w:p>
    <w:p>
      <w:r>
        <w:t xml:space="preserve">3. Vorkehrungen für eine bestimmungsgemäße Nutzung zu treffen.</w:t>
      </w:r>
    </w:p>
    <w:p>
      <w:r>
        <w:rPr>
          <w:color w:val="555555"/>
          <w:sz w:val="17"/>
        </w:rPr>
        <w:t xml:space="preserve">Zitiervorschlag: Art 4 KJG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https://recht.nulegal.eu/gesetze/KJG/4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