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KJFöG (Nordrhein-Westfalen) — Förderung von Mädchen, Jungen sowie transgeschlechtlichen,intergeschlechtlichen und nichtbinären jungen Menschen,Geschlechterreflektierende Kinder- und Jugendarbeit</w:t>
      </w:r>
    </w:p>
    <w:p>
      <w:r>
        <w:rPr>
          <w:color w:val="555555"/>
          <w:sz w:val="18"/>
        </w:rPr>
        <w:t xml:space="preserve">3. AG-KJHG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Bei der Ausgestaltung der Angebote haben die Träger der öffentlichen und freien Jugendhilfe die Gleichstellung von Mädchen und Jungen als durchgängiges Leitprinzip zu beachten.</w:t>
      </w:r>
    </w:p>
    <w:p>
      <w:r>
        <w:t xml:space="preserve">Dabei sollen sie</w:t>
      </w:r>
    </w:p>
    <w:p>
      <w:r>
        <w:t xml:space="preserve">1. die unterschiedlichen geschlechtsspezifischen Belange von Mädchen, Jungen sowie transgeschlechtlichen, intergeschlechtlichen und nichtbinären jungen Menschen berücksichtigen,</w:t>
      </w:r>
    </w:p>
    <w:p>
      <w:r>
        <w:t xml:space="preserve">2. zur Verbesserung ihrer Lebenslagen und zum Abbau geschlechtsspezifischer Benachteiligungen und Rollenzuschreibungen beitragen,</w:t>
      </w:r>
    </w:p>
    <w:p>
      <w:r>
        <w:t xml:space="preserve">3. die gleichberechtigte Teilhabe und Ansprache von Mädchen, Jungen sowie transgeschlechtlichen, intergeschlechtlichen und nichtbinären jungen Menschen ermöglichen und sie zu einer konstruktiven Konfliktbearbeitung befähigen und</w:t>
      </w:r>
    </w:p>
    <w:p>
      <w:r>
        <w:t xml:space="preserve">4. unterschiedliche Lebensentwürfe, sexuelle Orientierungen und geschlechtliche Identitäten als gleichberechtigt anerkennen.</w:t>
      </w:r>
    </w:p>
    <w:p>
      <w:r>
        <w:rPr>
          <w:color w:val="555555"/>
          <w:sz w:val="17"/>
        </w:rPr>
        <w:t xml:space="preserve">Zitiervorschlag: § 4 KJFöG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https://recht.nulegal.eu/gesetze/KJF%C3%B6G/4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