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KJFöG (Nordrhein-Westfalen) — In-Kraft-Treten</w:t>
      </w:r>
    </w:p>
    <w:p>
      <w:r>
        <w:rPr>
          <w:color w:val="555555"/>
          <w:sz w:val="18"/>
        </w:rPr>
        <w:t xml:space="preserve">3. AG-KJHG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Januar 2005 in Kraft. Abweichend von Satz 1 treten §§ 15, 16 und 17 am 1. Januar 2006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Innenminister</w:t>
      </w:r>
    </w:p>
    <w:p>
      <w:r>
        <w:t xml:space="preserve">zugleich für</w:t>
      </w:r>
    </w:p>
    <w:p>
      <w:r>
        <w:t xml:space="preserve">den Finanzminister</w:t>
      </w:r>
    </w:p>
    <w:p>
      <w:r>
        <w:t xml:space="preserve">Die Ministerin</w:t>
      </w:r>
    </w:p>
    <w:p>
      <w:r>
        <w:t xml:space="preserve">für Gesundheit, Soziales,</w:t>
      </w:r>
    </w:p>
    <w:p>
      <w:r>
        <w:t xml:space="preserve">Frauen und Familie</w:t>
      </w:r>
    </w:p>
    <w:p>
      <w:r>
        <w:t xml:space="preserve">Die Ministerin</w:t>
      </w:r>
    </w:p>
    <w:p>
      <w:r>
        <w:t xml:space="preserve">für Schule, Jugend und Kinder</w:t>
      </w:r>
    </w:p>
    <w:p>
      <w:r>
        <w:t xml:space="preserve">zugleich für</w:t>
      </w:r>
    </w:p>
    <w:p>
      <w:r>
        <w:t xml:space="preserve">den Minister</w:t>
      </w:r>
    </w:p>
    <w:p>
      <w:r>
        <w:t xml:space="preserve">für Wirtschaft und Arbeit</w:t>
      </w:r>
    </w:p>
    <w:p>
      <w:r>
        <w:rPr>
          <w:color w:val="555555"/>
          <w:sz w:val="17"/>
        </w:rPr>
        <w:t xml:space="preserve">Zitiervorschlag: § 21 KJFöG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https://recht.nulegal.eu/gesetze/KJF%C3%B6G/21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