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KJFöG (Nordrhein-Westfalen) — Durchführungsvorschriften</w:t>
      </w:r>
    </w:p>
    <w:p>
      <w:r>
        <w:rPr>
          <w:color w:val="555555"/>
          <w:sz w:val="18"/>
        </w:rPr>
        <w:t xml:space="preserve">3. AG-KJHG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dieses Gesetz nichts anderes bestimmt, gelten für seine Durchführung die Vorschriften des Sozialgesetzbuches - Verwaltungsverfahren - (SGB X) entsprechend.</w:t>
      </w:r>
    </w:p>
    <w:p>
      <w:r>
        <w:t xml:space="preserve">(2) Das Ministerium erlässt die zur Ausführung dieses Gesetzes erforderlichen Verwaltungsvorschriften.</w:t>
      </w:r>
    </w:p>
    <w:p>
      <w:r>
        <w:t xml:space="preserve">(3) Ministerium im Sinne dieses Gesetzes ist das für Kinder und Jugend zuständige Ministerium.</w:t>
      </w:r>
    </w:p>
    <w:p>
      <w:r>
        <w:rPr>
          <w:color w:val="555555"/>
          <w:sz w:val="17"/>
        </w:rPr>
        <w:t xml:space="preserve">Zitiervorschlag: § 20 KJFöG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https://recht.nulegal.eu/gesetze/KJF%C3%B6G/20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