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19 KJFöG (Nordrhein-Westfalen) — Qualitätsentwicklung, Modellförderung</w:t>
      </w:r>
    </w:p>
    <w:p>
      <w:r>
        <w:rPr>
          <w:color w:val="555555"/>
          <w:sz w:val="18"/>
        </w:rPr>
        <w:t xml:space="preserve">3. AG-KJHG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Zur Reflexion und Fortentwicklung der Angebote und Strukturen in der Kinder- und Jugendarbeit, der Jugendsozialarbeit und des erzieherischen Kinder- und Jugendschutzes fördert das Ministerium insbesondere</w:t>
      </w:r>
    </w:p>
    <w:p>
      <w:r>
        <w:t xml:space="preserve">1. auf Landesebene jugendpolitisch bedeutsame Veranstaltungen, Veröffentlichungen und Untersuchungen,</w:t>
      </w:r>
    </w:p>
    <w:p>
      <w:r>
        <w:t xml:space="preserve">2. Maßnahmen zur Erprobung zukunftsweisender Initiativen, die nach ihrer Zielvorstellung, nach Inhalt und Methode der Durchführung geeignet sind, Anregungen und Anstöße zu geben sowie</w:t>
      </w:r>
    </w:p>
    <w:p>
      <w:r>
        <w:t xml:space="preserve">3. neue Projekte an der Schnittstelle von Jugendarbeit und Jugendsozialarbeit zu anderen Politikfeldern und Modelle zur Schaffung von Ganztagsangeboten für Kinder im schulpflichtigen Alter, insbesondere in der Altersgruppe der 10 - 14-Jährigen.</w:t>
      </w:r>
    </w:p>
    <w:p>
      <w:r>
        <w:t xml:space="preserve">V.</w:t>
      </w:r>
    </w:p>
    <w:p>
      <w:r>
        <w:t xml:space="preserve">Schlussvorschriften; In-Kraft-Treten</w:t>
      </w:r>
    </w:p>
    <w:p>
      <w:r>
        <w:rPr>
          <w:color w:val="555555"/>
          <w:sz w:val="17"/>
        </w:rPr>
        <w:t xml:space="preserve">Zitiervorschlag: § 19 KJFöG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https://recht.nulegal.eu/gesetze/KJF%C3%B6G/19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