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KJFöG (Nordrhein-Westfalen) — Regelungsbereich</w:t>
      </w:r>
    </w:p>
    <w:p>
      <w:r>
        <w:rPr>
          <w:color w:val="555555"/>
          <w:sz w:val="18"/>
        </w:rPr>
        <w:t xml:space="preserve">3.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diesem Gesetz werden die Grundlagen für die Ausführung der in den §§ 11 - 14 SGB VIII beschriebenen Handlungsfelder der Jugendarbeit, der Jugendsozialarbeit und des erzieherischen Kinder- und Jugendschutzes geschaffen. Es regelt insbesondere die erforderlichen Rahmenbedingungen für die inhaltliche und finanzielle Ausgestaltung dieser Bereiche sowie die Eigenständigkeit dieser Handlungsfelder im Rahmen der Kinder- und Jugendhilfe.</w:t>
      </w:r>
    </w:p>
    <w:p>
      <w:r>
        <w:rPr>
          <w:color w:val="555555"/>
          <w:sz w:val="17"/>
        </w:rPr>
        <w:t xml:space="preserve">Zitiervorschlag: § 1 KJFöG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https://recht.nulegal.eu/gesetze/KJF%C3%B6G/1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