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KInvFG — Rückforderung</w:t>
      </w:r>
    </w:p>
    <w:p>
      <w:r>
        <w:rPr>
          <w:color w:val="555555"/>
          <w:sz w:val="18"/>
        </w:rPr>
        <w:t xml:space="preserve">Kommunalinvestitionsförderungsgesetz</w:t>
      </w:r>
    </w:p>
    <w:p>
      <w:r>
        <w:rPr>
          <w:color w:val="555555"/>
          <w:sz w:val="18"/>
        </w:rPr>
        <w:t xml:space="preserve">Stand: 15.09.2021 (konsolidierte Textfassung, kein amtliches Inkrafttretensdatum)</w:t>
      </w:r>
    </w:p>
    <w:p>
      <w:r>
        <w:t xml:space="preserve">(1) Die Länder zahlen die Finanzhilfen zurück, wenn geförderte einzelne Maßnahmen nicht die Voraussetzungen der §§ 3 bis 6 erfüllen und der zurückzuzahlende Betrag 1 000 Euro je Maßnahme übersteigt. Zurückgeforderte Mittel werden von dem jeweiligen Land an den Bund zurückgezahlt und können vorbehaltlich von Absatz 2 Satz 1 dem Land erneut zur Verfügung gestellt werden. Von den Ländern nach § 6 Absatz 2 zur Auszahlung angeordnete Bundesmittel für Maßnahmen, die aufgrund von durch den Starkregen oder das Hochwasser im Juli 2021 unmittelbar verursachten Schäden nicht innerhalb des Förderzeitraums nach § 5 abgeschlossen werden können, sind dem Bund nicht zurückzuzahlen. Dies ist vom Land gegenüber dem Bund nachzuweisen.</w:t>
      </w:r>
    </w:p>
    <w:p>
      <w:r>
        <w:t xml:space="preserve">(2) Nach dem 31. Dezember 2024 dürfen Bundesmittel nicht mehr zur Auszahlung angeordnet werden, bei Investitionsvorhaben nach § 5 Absatz 2 nicht mehr nach dem 31. Dezember 2025. Der Rückforderungsanspruch nach Absatz 1 bleibt unberührt.</w:t>
      </w:r>
    </w:p>
    <w:p>
      <w:r>
        <w:t xml:space="preserve">(3) Nach Absatz 1 zurückzuzahlende Mittel sind zu verzinsen. Werden Mittel entgegen § 6 Absatz 2 Satz 2 und 3 zu früh angewiesen, so sind für die Zeit der Auszahlung bis zur zweckentsprechenden Verwendung Zinsen zu zahlen.</w:t>
      </w:r>
    </w:p>
    <w:p>
      <w:r>
        <w:t xml:space="preserve">(4) Bestehen tatsächliche Anhaltspunkte, die eine Rückforderung von Bundesmitteln möglich erscheinen lassen, haben das Bundesministerium der Finanzen sowie der Bundesrechnungshof ein Recht auf einzelfallbezogene Informationsbeschaffung einschließlich örtlicher Erhebungsbefugnisse.</w:t>
      </w:r>
    </w:p>
    <w:p>
      <w:r>
        <w:rPr>
          <w:color w:val="555555"/>
          <w:sz w:val="17"/>
        </w:rPr>
        <w:t xml:space="preserve">Zitiervorschlag: § 8 KInvFG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