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KInvFG — Prüfung der Mittelverwendung</w:t>
      </w:r>
    </w:p>
    <w:p>
      <w:r>
        <w:rPr>
          <w:color w:val="555555"/>
          <w:sz w:val="18"/>
        </w:rPr>
        <w:t xml:space="preserve">Kommunalinvestitionsförderungsgesetz</w:t>
      </w:r>
    </w:p>
    <w:p>
      <w:r>
        <w:rPr>
          <w:color w:val="555555"/>
          <w:sz w:val="18"/>
        </w:rPr>
        <w:t xml:space="preserve">Stand: 10.06.2019 (konsolidierte Textfassung, kein amtliches Inkrafttretensdatum)</w:t>
      </w:r>
    </w:p>
    <w:p>
      <w:r>
        <w:t xml:space="preserve">(1) Die zuständigen obersten Landesbehörden sind verpflichtet, dem Bundesministerium der Finanzen die zur Durchführung dieses Gesetzes erforderlichen Auskünfte zu erteilen. Das Prüfungsrecht des Bundesrechnungshofes gemeinsam mit dem jeweiligen Landesrechnungshof im Sinne des § 93 der Bundeshaushaltsordnung bleibt hiervon unberührt.</w:t>
      </w:r>
    </w:p>
    <w:p>
      <w:r>
        <w:t xml:space="preserve">(2) Die zuständigen obersten Landesbehörden übersenden dem Bundesministerium der Finanzen halbjährlich jeweils zum 1. April und zum 1. Oktober eines Jahres Übersichten über die zweckentsprechende Verwendung der Bundesmittel der abgeschlossenen Maßnahmen. Das Nähere regelt die Verwaltungsvereinbarung.</w:t>
      </w:r>
    </w:p>
    <w:p>
      <w:r>
        <w:rPr>
          <w:color w:val="555555"/>
          <w:sz w:val="17"/>
        </w:rPr>
        <w:t xml:space="preserve">Zitiervorschlag: § 7 KInvFG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