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KInvFG — Förderquote und Bewirtschaftung</w:t>
      </w:r>
    </w:p>
    <w:p>
      <w:r>
        <w:rPr>
          <w:color w:val="555555"/>
          <w:sz w:val="18"/>
        </w:rPr>
        <w:t xml:space="preserve">Kommunalinvestitionsförderungsgesetz</w:t>
      </w:r>
    </w:p>
    <w:p>
      <w:r>
        <w:rPr>
          <w:color w:val="555555"/>
          <w:sz w:val="18"/>
        </w:rPr>
        <w:t xml:space="preserve">Stand: 10.06.2019 (konsolidierte Textfassung, kein amtliches Inkrafttretensdatum)</w:t>
      </w:r>
    </w:p>
    <w:p>
      <w:r>
        <w:t xml:space="preserve">(1) Der Bund beteiligt sich mit bis zu 90 Prozent, die Länder einschließlich der Gemeinden und Gemeindeverbände beteiligen sich mit mindestens 10 Prozent am Gesamtvolumen des öffentlichen Finanzierungsanteils der förderfähigen Kosten der Investitionen finanzschwacher Gemeinden und Gemeindeverbände eines Landes. Die Länder sind aufgefordert, dafür Sorge zu tragen, dass finanzschwache Gemeinden und Gemeindeverbände den Eigenfinanzierungsanteil erbringen können.</w:t>
      </w:r>
    </w:p>
    <w:p>
      <w:r>
        <w:t xml:space="preserve">(2) Der Bund stellt die Finanzhilfen den Ländern zur eigenen Bewirtschaftung zur Verfügung. Die zuständigen Stellen der Länder sind ermächtigt, die Auszahlung der Bundesmittel anzuordnen, sobald sie zur anteiligen Begleichung erforderlicher Zahlungen benötigt werden. Die Länder leiten die Finanzhilfen des Bundes unverzüglich an die Letztempfänger weiter.</w:t>
      </w:r>
    </w:p>
    <w:p>
      <w:r>
        <w:t xml:space="preserve">(3) Den Ländern obliegt jeweils entsprechend den landesspezifischen Gegebenheiten die Auswahl der finanzschwachen Gemeinden und Gemeindeverbände beziehungsweise den Stadtstaaten die Auswahl der förderfähigen Gebiete. Die Länder teilen dem Bundesministerium der Finanzen die Kriterien mit, anhand derer die Auswahl getroffen wurde.</w:t>
      </w:r>
    </w:p>
    <w:p>
      <w:r>
        <w:rPr>
          <w:color w:val="555555"/>
          <w:sz w:val="17"/>
        </w:rPr>
        <w:t xml:space="preserve">Zitiervorschlag: § 6 KInvFG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https://recht.nulegal.eu/gesetze/KInvFG/6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