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KInvFG — Förderbereiche</w:t>
      </w:r>
    </w:p>
    <w:p>
      <w:r>
        <w:rPr>
          <w:color w:val="555555"/>
          <w:sz w:val="18"/>
        </w:rPr>
        <w:t xml:space="preserve">Kommunalinvestitionsförderungsgesetz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Finanzhilfen werden trägerneutral für Maßnahmen in folgenden Bereichen gewährt:</w:t>
      </w:r>
    </w:p>
    <w:p>
      <w:pPr>
        <w:ind w:left="420"/>
      </w:pPr>
      <w:r>
        <w:t xml:space="preserve">1. Investitionen mit Schwerpunkt Infrastruktur</w:t>
      </w:r>
    </w:p>
    <w:p>
      <w:pPr>
        <w:ind w:left="780"/>
      </w:pPr>
      <w:r>
        <w:t xml:space="preserve">a) Krankenhäuser,</w:t>
      </w:r>
    </w:p>
    <w:p>
      <w:pPr>
        <w:ind w:left="780"/>
      </w:pPr>
      <w:r>
        <w:t xml:space="preserve">b) Lärmbekämpfung, insbesondere bei Straßen, ohne Schutz vor verhaltensbezogenem Lärm,</w:t>
      </w:r>
    </w:p>
    <w:p>
      <w:pPr>
        <w:ind w:left="780"/>
      </w:pPr>
      <w:r>
        <w:t xml:space="preserve">c) Städtebau (ohne Abwasser) einschließlich altersgerechter Umbau, Barriereabbau (auch im öffentlichen Personennahverkehr), Brachflächenrevitalisierung,</w:t>
      </w:r>
    </w:p>
    <w:p>
      <w:pPr>
        <w:ind w:left="780"/>
      </w:pPr>
      <w:r>
        <w:t xml:space="preserve">d) Informationstechnologie, beschränkt auf finanzschwache Kommunen in ländlichen Gebieten, zur Erreichung des 50 Mbit-Ausbauziels,</w:t>
      </w:r>
    </w:p>
    <w:p>
      <w:pPr>
        <w:ind w:left="780"/>
      </w:pPr>
      <w:r>
        <w:t xml:space="preserve">e) Energetische Sanierung sonstiger Infrastrukturinvestitionen,</w:t>
      </w:r>
    </w:p>
    <w:p>
      <w:pPr>
        <w:ind w:left="780"/>
      </w:pPr>
      <w:r>
        <w:t xml:space="preserve">f) Luftreinhaltung.</w:t>
      </w:r>
    </w:p>
    <w:p>
      <w:pPr>
        <w:ind w:left="420"/>
      </w:pPr>
      <w:r>
        <w:t xml:space="preserve">2. Investitionen mit Schwerpunkt Bildungsinfrastruktur</w:t>
      </w:r>
    </w:p>
    <w:p>
      <w:pPr>
        <w:ind w:left="780"/>
      </w:pPr>
      <w:r>
        <w:t xml:space="preserve">a) Einrichtungen der frühkindlichen Infrastruktur, einschließlich des Anschlusses dieser Infrastruktur an ein vorhandenes Netz, aus dem Wärme aus erneuerbaren Energieträgern bezogen wird,</w:t>
      </w:r>
    </w:p>
    <w:p>
      <w:pPr>
        <w:ind w:left="780"/>
      </w:pPr>
      <w:r>
        <w:t xml:space="preserve">b) Energetische Sanierung von Einrichtungen der Schulinfrastruktur,</w:t>
      </w:r>
    </w:p>
    <w:p>
      <w:pPr>
        <w:ind w:left="780"/>
      </w:pPr>
      <w:r>
        <w:t xml:space="preserve">c) Energetische Sanierung kommunaler oder gemeinnütziger Einrichtungen der Weiterbildung,</w:t>
      </w:r>
    </w:p>
    <w:p>
      <w:pPr>
        <w:ind w:left="780"/>
      </w:pPr>
      <w:r>
        <w:t xml:space="preserve">d) Modernisierung von überbetrieblichen Berufsbildungsstätten.</w:t>
      </w:r>
    </w:p>
    <w:p>
      <w:r>
        <w:t xml:space="preserve">Einrichtungen gemäß Nummer 1 außerhalb der sozialen Daseinsvorsorge, die durch Gebühren und Beiträge vollständig zu finanzieren sind, können nicht gefördert werden.</w:t>
      </w:r>
    </w:p>
    <w:p>
      <w:r>
        <w:rPr>
          <w:color w:val="555555"/>
          <w:sz w:val="17"/>
        </w:rPr>
        <w:t xml:space="preserve">Zitiervorschlag: § 3 KInvFG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https://recht.nulegal.eu/gesetze/KInvFG/3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