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KInvFG — Verteilung</w:t>
      </w:r>
    </w:p>
    <w:p>
      <w:r>
        <w:rPr>
          <w:color w:val="555555"/>
          <w:sz w:val="18"/>
        </w:rPr>
        <w:t xml:space="preserve">Kommunalinvestitionsförderungsgesetz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in § 1 Satz 2 festgelegte Betrag wird nach folgenden Prozentsätzen auf die Länder aufgeteilt:</w:t>
      </w:r>
    </w:p>
    <w:p>
      <w:r>
        <w:rPr>
          <w:rFonts w:ascii="Courier New" w:hAnsi="Courier New"/>
          <w:sz w:val="17"/>
        </w:rPr>
        <w:t xml:space="preserve">Baden-Württemberg    7,0770</w:t>
      </w:r>
    </w:p>
    <w:p>
      <w:r>
        <w:rPr>
          <w:rFonts w:ascii="Courier New" w:hAnsi="Courier New"/>
          <w:sz w:val="17"/>
        </w:rPr>
        <w:t xml:space="preserve">Bayern    8,2640</w:t>
      </w:r>
    </w:p>
    <w:p>
      <w:r>
        <w:rPr>
          <w:rFonts w:ascii="Courier New" w:hAnsi="Courier New"/>
          <w:sz w:val="17"/>
        </w:rPr>
        <w:t xml:space="preserve">Berlin    3,9385</w:t>
      </w:r>
    </w:p>
    <w:p>
      <w:r>
        <w:rPr>
          <w:rFonts w:ascii="Courier New" w:hAnsi="Courier New"/>
          <w:sz w:val="17"/>
        </w:rPr>
        <w:t xml:space="preserve">Brandenburg    3,0842</w:t>
      </w:r>
    </w:p>
    <w:p>
      <w:r>
        <w:rPr>
          <w:rFonts w:ascii="Courier New" w:hAnsi="Courier New"/>
          <w:sz w:val="17"/>
        </w:rPr>
        <w:t xml:space="preserve">Bremen    1,1078</w:t>
      </w:r>
    </w:p>
    <w:p>
      <w:r>
        <w:rPr>
          <w:rFonts w:ascii="Courier New" w:hAnsi="Courier New"/>
          <w:sz w:val="17"/>
        </w:rPr>
        <w:t xml:space="preserve">Hamburg    1,6692</w:t>
      </w:r>
    </w:p>
    <w:p>
      <w:r>
        <w:rPr>
          <w:rFonts w:ascii="Courier New" w:hAnsi="Courier New"/>
          <w:sz w:val="17"/>
        </w:rPr>
        <w:t xml:space="preserve">Hessen    9,0611</w:t>
      </w:r>
    </w:p>
    <w:p>
      <w:r>
        <w:rPr>
          <w:rFonts w:ascii="Courier New" w:hAnsi="Courier New"/>
          <w:sz w:val="17"/>
        </w:rPr>
        <w:t xml:space="preserve">Mecklenburg-Vorpommern    2,2650</w:t>
      </w:r>
    </w:p>
    <w:p>
      <w:r>
        <w:rPr>
          <w:rFonts w:ascii="Courier New" w:hAnsi="Courier New"/>
          <w:sz w:val="17"/>
        </w:rPr>
        <w:t xml:space="preserve">Niedersachsen    9,3583</w:t>
      </w:r>
    </w:p>
    <w:p>
      <w:r>
        <w:rPr>
          <w:rFonts w:ascii="Courier New" w:hAnsi="Courier New"/>
          <w:sz w:val="17"/>
        </w:rPr>
        <w:t xml:space="preserve">Nordrhein-Westfalen    32,1606</w:t>
      </w:r>
    </w:p>
    <w:p>
      <w:r>
        <w:rPr>
          <w:rFonts w:ascii="Courier New" w:hAnsi="Courier New"/>
          <w:sz w:val="17"/>
        </w:rPr>
        <w:t xml:space="preserve">Rheinland-Pfalz    7,2342</w:t>
      </w:r>
    </w:p>
    <w:p>
      <w:r>
        <w:rPr>
          <w:rFonts w:ascii="Courier New" w:hAnsi="Courier New"/>
          <w:sz w:val="17"/>
        </w:rPr>
        <w:t xml:space="preserve">Saarland    2,1518</w:t>
      </w:r>
    </w:p>
    <w:p>
      <w:r>
        <w:rPr>
          <w:rFonts w:ascii="Courier New" w:hAnsi="Courier New"/>
          <w:sz w:val="17"/>
        </w:rPr>
        <w:t xml:space="preserve">Sachsen    4,4501</w:t>
      </w:r>
    </w:p>
    <w:p>
      <w:r>
        <w:rPr>
          <w:rFonts w:ascii="Courier New" w:hAnsi="Courier New"/>
          <w:sz w:val="17"/>
        </w:rPr>
        <w:t xml:space="preserve">Sachsen-Anhalt    3,1680</w:t>
      </w:r>
    </w:p>
    <w:p>
      <w:r>
        <w:rPr>
          <w:rFonts w:ascii="Courier New" w:hAnsi="Courier New"/>
          <w:sz w:val="17"/>
        </w:rPr>
        <w:t xml:space="preserve">Schleswig-Holstein    2,8439</w:t>
      </w:r>
    </w:p>
    <w:p>
      <w:r>
        <w:rPr>
          <w:rFonts w:ascii="Courier New" w:hAnsi="Courier New"/>
          <w:sz w:val="17"/>
        </w:rPr>
        <w:t xml:space="preserve">Thüringen    2,1663.</w:t>
      </w:r>
    </w:p>
    <w:p>
      <w:r>
        <w:rPr>
          <w:color w:val="555555"/>
          <w:sz w:val="17"/>
        </w:rPr>
        <w:t xml:space="preserve">Zitiervorschlag: § 2 KInvFG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https://recht.nulegal.eu/gesetze/KInvFG/2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