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KInvFG — Verteilung</w:t>
      </w:r>
    </w:p>
    <w:p>
      <w:r>
        <w:rPr>
          <w:color w:val="555555"/>
          <w:sz w:val="18"/>
        </w:rPr>
        <w:t xml:space="preserve">Kommunalinvestitionsförderungsgesetz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in § 10 Satz 2 festgelegte Betrag wird nach folgenden Prozentsätzen auf die Länder aufgeteilt:</w:t>
      </w:r>
    </w:p>
    <w:p>
      <w:r>
        <w:rPr>
          <w:rFonts w:ascii="Courier New" w:hAnsi="Courier New"/>
          <w:sz w:val="17"/>
        </w:rPr>
        <w:t xml:space="preserve">Baden-Württemberg    7,1783</w:t>
      </w:r>
    </w:p>
    <w:p>
      <w:r>
        <w:rPr>
          <w:rFonts w:ascii="Courier New" w:hAnsi="Courier New"/>
          <w:sz w:val="17"/>
        </w:rPr>
        <w:t xml:space="preserve">Bayern    8,3728</w:t>
      </w:r>
    </w:p>
    <w:p>
      <w:r>
        <w:rPr>
          <w:rFonts w:ascii="Courier New" w:hAnsi="Courier New"/>
          <w:sz w:val="17"/>
        </w:rPr>
        <w:t xml:space="preserve">Berlin    4,0114</w:t>
      </w:r>
    </w:p>
    <w:p>
      <w:r>
        <w:rPr>
          <w:rFonts w:ascii="Courier New" w:hAnsi="Courier New"/>
          <w:sz w:val="17"/>
        </w:rPr>
        <w:t xml:space="preserve">Brandenburg    2,9248</w:t>
      </w:r>
    </w:p>
    <w:p>
      <w:r>
        <w:rPr>
          <w:rFonts w:ascii="Courier New" w:hAnsi="Courier New"/>
          <w:sz w:val="17"/>
        </w:rPr>
        <w:t xml:space="preserve">Bremen    1,2123</w:t>
      </w:r>
    </w:p>
    <w:p>
      <w:r>
        <w:rPr>
          <w:rFonts w:ascii="Courier New" w:hAnsi="Courier New"/>
          <w:sz w:val="17"/>
        </w:rPr>
        <w:t xml:space="preserve">Hamburg    1,7550</w:t>
      </w:r>
    </w:p>
    <w:p>
      <w:r>
        <w:rPr>
          <w:rFonts w:ascii="Courier New" w:hAnsi="Courier New"/>
          <w:sz w:val="17"/>
        </w:rPr>
        <w:t xml:space="preserve">Hessen    9,4279</w:t>
      </w:r>
    </w:p>
    <w:p>
      <w:r>
        <w:rPr>
          <w:rFonts w:ascii="Courier New" w:hAnsi="Courier New"/>
          <w:sz w:val="17"/>
        </w:rPr>
        <w:t xml:space="preserve">Mecklenburg-Vorpommern    2,1494</w:t>
      </w:r>
    </w:p>
    <w:p>
      <w:r>
        <w:rPr>
          <w:rFonts w:ascii="Courier New" w:hAnsi="Courier New"/>
          <w:sz w:val="17"/>
        </w:rPr>
        <w:t xml:space="preserve">Niedersachsen    8,2512</w:t>
      </w:r>
    </w:p>
    <w:p>
      <w:r>
        <w:rPr>
          <w:rFonts w:ascii="Courier New" w:hAnsi="Courier New"/>
          <w:sz w:val="17"/>
        </w:rPr>
        <w:t xml:space="preserve">Nordrhein-Westfalen    32,0172</w:t>
      </w:r>
    </w:p>
    <w:p>
      <w:r>
        <w:rPr>
          <w:rFonts w:ascii="Courier New" w:hAnsi="Courier New"/>
          <w:sz w:val="17"/>
        </w:rPr>
        <w:t xml:space="preserve">Rheinland-Pfalz    7,3313</w:t>
      </w:r>
    </w:p>
    <w:p>
      <w:r>
        <w:rPr>
          <w:rFonts w:ascii="Courier New" w:hAnsi="Courier New"/>
          <w:sz w:val="17"/>
        </w:rPr>
        <w:t xml:space="preserve">Saarland    2,0572</w:t>
      </w:r>
    </w:p>
    <w:p>
      <w:r>
        <w:rPr>
          <w:rFonts w:ascii="Courier New" w:hAnsi="Courier New"/>
          <w:sz w:val="17"/>
        </w:rPr>
        <w:t xml:space="preserve">Sachsen    5,0831</w:t>
      </w:r>
    </w:p>
    <w:p>
      <w:r>
        <w:rPr>
          <w:rFonts w:ascii="Courier New" w:hAnsi="Courier New"/>
          <w:sz w:val="17"/>
        </w:rPr>
        <w:t xml:space="preserve">Sachsen-Anhalt    3,3266</w:t>
      </w:r>
    </w:p>
    <w:p>
      <w:r>
        <w:rPr>
          <w:rFonts w:ascii="Courier New" w:hAnsi="Courier New"/>
          <w:sz w:val="17"/>
        </w:rPr>
        <w:t xml:space="preserve">Schleswig-Holstein    2,8496</w:t>
      </w:r>
    </w:p>
    <w:p>
      <w:r>
        <w:rPr>
          <w:rFonts w:ascii="Courier New" w:hAnsi="Courier New"/>
          <w:sz w:val="17"/>
        </w:rPr>
        <w:t xml:space="preserve">Thüringen    2,0519.</w:t>
      </w:r>
    </w:p>
    <w:p>
      <w:r>
        <w:t xml:space="preserve">(2) Die Flächenländer legen im Einvernehmen mit dem Bund entsprechend den landesspezifischen Gegebenheiten die Auswahl der finanzschwachen Gemeinden und Gemeindeverbände, die Stadtstaaten dementsprechend die Auswahl der förderfähigen Gebiete fest.</w:t>
      </w:r>
    </w:p>
    <w:p>
      <w:r>
        <w:rPr>
          <w:color w:val="555555"/>
          <w:sz w:val="17"/>
        </w:rPr>
        <w:t xml:space="preserve">Zitiervorschlag: § 11 KInvFG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https://recht.nulegal.eu/gesetze/KInvFG/11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