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KInvFErrG — Rechnungslegung</w:t>
      </w:r>
    </w:p>
    <w:p>
      <w:r>
        <w:rPr>
          <w:color w:val="555555"/>
          <w:sz w:val="18"/>
        </w:rPr>
        <w:t xml:space="preserve">Gesetz zur Errichtung eines Sondervermögens „Kommunalinvestitionsförderungsfonds“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der Finanzen legt jährlich Rechnung über die Einnahmen und Ausgaben des Sondervermögens. Sie ist als Übersicht der Haushaltsrechnung des Bundes beizufügen.</w:t>
      </w:r>
    </w:p>
    <w:p>
      <w:r>
        <w:rPr>
          <w:color w:val="555555"/>
          <w:sz w:val="17"/>
        </w:rPr>
        <w:t xml:space="preserve">Zitiervorschlag: § 6 KInvFErrG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https://recht.nulegal.eu/gesetze/KInvFErrG/6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