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KInvFErrG — Zweck des Sondervermögens</w:t>
      </w:r>
    </w:p>
    <w:p>
      <w:r>
        <w:rPr>
          <w:color w:val="555555"/>
          <w:sz w:val="18"/>
        </w:rPr>
        <w:t xml:space="preserve">Gesetz zur Errichtung eines Sondervermögens „Kommunalinvestitionsförderungsfonds“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dem Sondervermögen sollen Finanzhilfen an die Länder zur Förderung von besonders bedeutsamen Investitionen finanzschwacher Gemeinden und Gemeindeverbände gewährt werden.</w:t>
      </w:r>
    </w:p>
    <w:p>
      <w:r>
        <w:rPr>
          <w:color w:val="555555"/>
          <w:sz w:val="17"/>
        </w:rPr>
        <w:t xml:space="preserve">Zitiervorschlag: § 2 KInvFErrG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https://recht.nulegal.eu/gesetze/KInvFErrG/2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