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KIV</w:t>
      </w:r>
    </w:p>
    <w:p>
      <w:r>
        <w:rPr>
          <w:color w:val="555555"/>
          <w:sz w:val="18"/>
        </w:rPr>
        <w:t xml:space="preserve">Kaliumiodidverordnung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71 Abs. 2 und 3 des Arzneimittelgesetzes in der Fassung der Bekanntmachung vom 11. Dezember 1998 (BGBl. I S. 3586) in Verbindung mit § 1 des Zuständigkeitsanpassungsgesetzes vom 16. August 2002 (BGBl. I S. 3165) und dem Organisationserlass vom 22. Oktober 2002 (BGBl. I S. 4206) verordnet das Bundesministerium für Gesundheit und Soziale Sicherung im Einvernehmen mit dem Bundesministerium der Verteidigung und dem Bundesministerium des Innern:</w:t>
      </w:r>
    </w:p>
    <w:p>
      <w:r>
        <w:rPr>
          <w:color w:val="555555"/>
          <w:sz w:val="17"/>
        </w:rPr>
        <w:t xml:space="preserve">Zitiervorschlag: Eingangsformel KIV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