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KIV — Ausnahmen vom Siebenten Abschnitt des Arzneimittelgesetzes</w:t>
      </w:r>
    </w:p>
    <w:p>
      <w:r>
        <w:rPr>
          <w:color w:val="555555"/>
          <w:sz w:val="18"/>
        </w:rPr>
        <w:t xml:space="preserve">Kaliumiodidverordnung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Abweichend von § 47 Abs. 1 des Arzneimittelgesetzes können die in § 1 Abs. 2 genannten Arzneimittel vom pharmazeutischen Unternehmer und vom pharmazeutischen Großhändler unmittelbar an die in § 1 Abs. 2 genannten Stellen abgegeben werden.</w:t>
      </w:r>
    </w:p>
    <w:p>
      <w:r>
        <w:t xml:space="preserve">(2) Die in § 1 Abs. 2 genannten Arzneimittel können bei einem radiologischen Ereignis auf Veranlassung der zuständigen Behörde abweichend von § 43 Abs. 1 des Arzneimittelgesetzes zum Endverbrauch abgegeben werden.</w:t>
      </w:r>
    </w:p>
    <w:p>
      <w:r>
        <w:rPr>
          <w:color w:val="555555"/>
          <w:sz w:val="17"/>
        </w:rPr>
        <w:t xml:space="preserve">Zitiervorschlag: § 2 KIV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