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KI-VO — Sanktionen</w:t>
      </w:r>
    </w:p>
    <w:p>
      <w:r>
        <w:rPr>
          <w:color w:val="555555"/>
          <w:sz w:val="18"/>
        </w:rPr>
        <w:t xml:space="preserve">KI-VO</w:t>
      </w:r>
    </w:p>
    <w:p>
      <w:r>
        <w:rPr>
          <w:color w:val="555555"/>
          <w:sz w:val="18"/>
        </w:rPr>
        <w:t xml:space="preserve">Stand: 22.07.2026 (konsolidierte Textfassung, kein amtliches Inkrafttretensdatum)</w:t>
      </w:r>
    </w:p>
    <w:p>
      <w:r>
        <w:t xml:space="preserve">(1) Entsprechend den Vorgaben dieser Verordnung erlassen die Mitgliedstaaten Vorschriften für Sanktionen und andere Durchsetzungsmaßnahmen, zu denen auch Verwarnungen und nichtmonetäre Maßnahmen gehören können, die bei Verstößen gegen diese Verordnung durch Akteure Anwendung finden, und ergreifen alle Maßnahmen, die für deren ordnungsgemäße und wirksame Durchsetzung notwendig sind, wobei die von der Kommission gemäß Artikel 96 erteilten Leitlinien zu berücksichtigen sind. Die vorgesehenen Sanktionen müssen wirksam, verhältnismäßig und abschreckend sein. Sie berücksichtigen die Interessen von KMU, einschließlich Start-up-Unternehmen, sowie deren wirtschaftliches Überleben.</w:t>
      </w:r>
    </w:p>
    <w:p>
      <w:r>
        <w:t xml:space="preserve">(2) Die Mitgliedstaaten teilen der Kommission die Vorschriften für Sanktionen und andere Durchsetzungsmaßnahmen gemäß Absatz 1 unverzüglich und spätestens zum Zeitpunkt ihres Inkrafttretens mit und melden ihr unverzüglich etwaige spätere Änderungen.</w:t>
      </w:r>
    </w:p>
    <w:p>
      <w:r>
        <w:t xml:space="preserve">(3) Bei Missachtung des Verbots der in Artikel 5 genannten KI-Praktiken werden Geldbußen von bis zu 35 000 000 EUR oder — im Falle von Unternehmen — von bis zu 7 % des gesamten weltweiten Jahresumsatzes des vorangegangenen Geschäftsjahres verhängt, je nachdem, welcher Betrag höher ist.</w:t>
      </w:r>
    </w:p>
    <w:p>
      <w:r>
        <w:t xml:space="preserve">(4) Für Verstöße gegen folgende für Akteure oder notifizierte Stellen geltende Bestimmungen, mit Ausnahme der in Artikel 5 genannten, werden Geldbußen von bis zu 15 000 000 EUR oder — im Falle von Unternehmen — von bis zu 3 % des gesamten weltweiten Jahresumsatzes des vorangegangenen Geschäftsjahres verhängt, je nachdem, welcher Betrag höher ist:</w:t>
      </w:r>
    </w:p>
    <w:p>
      <w:r>
        <w:t xml:space="preserve">a) Pflichten der Anbieter gemäß Artikel 16;</w:t>
      </w:r>
    </w:p>
    <w:p>
      <w:r>
        <w:t xml:space="preserve">b) Pflichten der Bevollmächtigten gemäß Artikel 22;</w:t>
      </w:r>
    </w:p>
    <w:p>
      <w:r>
        <w:t xml:space="preserve">c) Pflichten der Einführer gemäß Artikel 23;</w:t>
      </w:r>
    </w:p>
    <w:p>
      <w:r>
        <w:t xml:space="preserve">d) Pflichten der Händler gemäß Artikel 24;</w:t>
      </w:r>
    </w:p>
    <w:p>
      <w:r>
        <w:t xml:space="preserve">e) Pflichten der Betreiber gemäß Artikel 26;</w:t>
      </w:r>
    </w:p>
    <w:p>
      <w:r>
        <w:t xml:space="preserve">f) für notifizierte Stellen geltende Anforderungen und Pflichten gemäß Artikel 31, Artikel 33 Absätze 1, 3 und 4 bzw. Artikel 34;</w:t>
      </w:r>
    </w:p>
    <w:p>
      <w:r>
        <w:t xml:space="preserve">g) Transparenzpflichten für Anbieter und Betreiber gemäß Artikel 50.</w:t>
      </w:r>
    </w:p>
    <w:p>
      <w:r>
        <w:t xml:space="preserve">(5) Werden notifizierten Stellen oder zuständigen nationalen Behörden auf deren Auskunftsersuchen hin falsche, unvollständige oder irreführende Informationen bereitgestellt, so werden Geldbußen von bis zu 7 500 000 EUR oder — im Falle von Unternehmen — von bis zu 1 % des gesamten weltweiten Jahresumsatzes des vorangegangenen Geschäftsjahres verhängt, je nachdem, welcher Betrag höher ist.</w:t>
      </w:r>
    </w:p>
    <w:p>
      <w:r>
        <w:t xml:space="preserve">(6) Im Falle von KMU, einschließlich Start-up-Unternehmen, gilt für jede in diesem Artikel genannte Geldbuße der jeweils niedrigere Betrag aus den in den Absätzen 3, 4 und 5 genannten Prozentsätzen oder Summen.</w:t>
      </w:r>
    </w:p>
    <w:p>
      <w:r>
        <w:t xml:space="preserve">(7) Bei der Entscheidung, ob eine Geldbuße verhängt wird, und bei der Festsetzung der Höhe der Geldbuße werden in jedem Einzelfall alle relevanten Umstände der konkreten Situation sowie gegebenenfalls Folgendes berücksichtigt:</w:t>
      </w:r>
    </w:p>
    <w:p>
      <w:r>
        <w:t xml:space="preserve">a) Art, Schwere und Dauer des Verstoßes und seiner Folgen, unter Berücksichtigung des Zwecks des KI-Systems sowie gegebenenfalls der Zahl der betroffenen Personen und des Ausmaßes des von ihnen erlittenen Schadens;</w:t>
      </w:r>
    </w:p>
    <w:p>
      <w:r>
        <w:t xml:space="preserve">b) ob demselben Akteur bereits von anderen Marktüberwachungsbehörden für denselben Verstoß Geldbußen auferlegt wurden;</w:t>
      </w:r>
    </w:p>
    <w:p>
      <w:r>
        <w:t xml:space="preserve">c) ob demselben Akteur bereits von anderen Behörden für Verstöße gegen das Unionsrecht oder das nationale Recht Geldbußen auferlegt wurden, wenn diese Verstöße auf dieselbe Handlung oder Unterlassung zurückzuführen sind, die einen einschlägigen Verstoß gegen diese Verordnung darstellt;</w:t>
      </w:r>
    </w:p>
    <w:p>
      <w:r>
        <w:t xml:space="preserve">d) Größe, Jahresumsatz und Marktanteil des Akteurs, der den Verstoß begangen hat;</w:t>
      </w:r>
    </w:p>
    <w:p>
      <w:r>
        <w:t xml:space="preserve">e) jegliche anderen erschwerenden oder mildernden Umstände im jeweiligen Fall, wie etwa unmittelbar oder mittelbar durch den Verstoß erlangte finanzielle Vorteile oder vermiedene Verluste;</w:t>
      </w:r>
    </w:p>
    <w:p>
      <w:r>
        <w:t xml:space="preserve">f) Grad der Zusammenarbeit mit den zuständigen nationalen Behörden, um den Verstoß abzustellen und die möglichen nachteiligen Auswirkungen des Verstoßes abzumildern;</w:t>
      </w:r>
    </w:p>
    <w:p>
      <w:r>
        <w:t xml:space="preserve">g) Grad an Verantwortung des Akteurs unter Berücksichtigung der von ihm ergriffenen technischen und organisatorischen Maßnahmen;</w:t>
      </w:r>
    </w:p>
    <w:p>
      <w:r>
        <w:t xml:space="preserve">h) Art und Weise, wie der Verstoß den zuständigen nationalen Behörden bekannt wurde, insbesondere ob und gegebenenfalls in welchem Umfang der Akteur den Verstoß gemeldet hat;</w:t>
      </w:r>
    </w:p>
    <w:p>
      <w:r>
        <w:t xml:space="preserve">i) Vorsätzlichkeit oder Fahrlässigkeit des Verstoßes;</w:t>
      </w:r>
    </w:p>
    <w:p>
      <w:r>
        <w:t xml:space="preserve">j) alle Maßnahmen, die der Akteur ergriffen hat, um den Schaden, der den betroffenen Personen zugefügt wird, zu mindern.</w:t>
      </w:r>
    </w:p>
    <w:p>
      <w:r>
        <w:t xml:space="preserve">(8) Jeder Mitgliedstaat erlässt Vorschriften darüber, in welchem Umfang gegen Behörden und öffentliche Stellen, die in dem betreffenden Mitgliedstaat niedergelassen sind, Geldbußen verhängt werden können.</w:t>
      </w:r>
    </w:p>
    <w:p>
      <w:r>
        <w:t xml:space="preserve">(9) In Abhängigkeit vom Rechtssystem der Mitgliedstaaten können die Vorschriften über Geldbußen je nach den dort geltenden Regeln so angewandt werden, dass die Geldbußen von den zuständigen nationalen Gerichten oder von sonstigen Stellen verhängt werden. Die Anwendung dieser Vorschriften in diesen Mitgliedstaaten muss eine gleichwertige Wirkung haben.</w:t>
      </w:r>
    </w:p>
    <w:p>
      <w:r>
        <w:t xml:space="preserve">(10) Die Ausübung der Befugnisse gemäß diesem Artikel muss angemessenen Verfahrensgarantien gemäß dem Unionsrecht und dem nationalen Recht, einschließlich wirksamer gerichtlicher Rechtsbehelfe und ordnungsgemäßer Verfahren, unterliegen.</w:t>
      </w:r>
    </w:p>
    <w:p>
      <w:r>
        <w:t xml:space="preserve">(11) Die Mitgliedstaaten erstatten der Kommission jährlich Bericht über die Geldbußen, die sie in dem betreffenden Jahr gemäß diesem Artikel verhängt haben, und über damit zusammenhängende Rechtsstreitigkeiten oder Gerichtsverfahren.</w:t>
      </w:r>
    </w:p>
    <w:p>
      <w:r>
        <w:rPr>
          <w:color w:val="555555"/>
          <w:sz w:val="17"/>
        </w:rPr>
        <w:t xml:space="preserve">Zitiervorschlag: Art 99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https://recht.nulegal.eu/gesetze/KI-VO/99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