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96 KI-VO — Leitlinien der Kommission zur Durchführung dieser Verordnung</w:t>
      </w:r>
    </w:p>
    <w:p>
      <w:r>
        <w:rPr>
          <w:color w:val="555555"/>
          <w:sz w:val="18"/>
        </w:rPr>
        <w:t xml:space="preserve">KI-VO</w:t>
      </w:r>
    </w:p>
    <w:p>
      <w:r>
        <w:rPr>
          <w:color w:val="555555"/>
          <w:sz w:val="18"/>
        </w:rPr>
        <w:t xml:space="preserve">Stand: 22.07.2026 (konsolidierte Textfassung, kein amtliches Inkrafttretensdatum)</w:t>
      </w:r>
    </w:p>
    <w:p>
      <w:r>
        <w:t xml:space="preserve">(1) Die Kommission erarbeitet Leitlinien für die praktische Umsetzung dieser Verordnung, die sich insbesondere auf Folgendes beziehen:</w:t>
      </w:r>
    </w:p>
    <w:p>
      <w:r>
        <w:t xml:space="preserve">a) die Anwendung der in den Artikeln 8 bis 15 und in Artikel 25 genannten Anforderungen und Pflichten;</w:t>
      </w:r>
    </w:p>
    <w:p>
      <w:r>
        <w:t xml:space="preserve">b) die in Artikel 5 genannten verbotenen Praktiken;</w:t>
      </w:r>
    </w:p>
    <w:p>
      <w:r>
        <w:t xml:space="preserve">c) die praktische Durchführung der Bestimmungen über wesentliche Veränderungen;</w:t>
      </w:r>
    </w:p>
    <w:p>
      <w:r>
        <w:t xml:space="preserve">d) die praktische Umsetzung der Transparenzpflichten gemäß Artikel 50;</w:t>
      </w:r>
    </w:p>
    <w:p>
      <w:r>
        <w:t xml:space="preserve">e) detaillierte Informationen über das Verhältnis dieser Verordnung zu den in Anhang I aufgeführten Harmonisierungsrechtsvorschriften der Union sowie zu anderen einschlägigen Rechtsvorschriften der Union, auch in Bezug auf deren kohärente Durchsetzung;</w:t>
      </w:r>
    </w:p>
    <w:p>
      <w:r>
        <w:t xml:space="preserve">f) die Anwendung der Definition eines KI-Systems gemäß Artikel 3 Nummer 1. Wenn die Kommission solche Leitlinien herausgibt, widmet sie den Bedürfnissen von KMU einschließlich Start-up-Unternehmen, von lokalen Behörden und von den am wahrscheinlichsten von dieser Verordnung betroffenen Sektoren besondere Aufmerksamkeit. Die Leitlinien gemäß Unterabsatz 1 dieses Absatzes tragen dem allgemein anerkannten Stand der Technik im Bereich KI sowie den einschlägigen harmonisierten Normen und gemeinsamen Spezifikationen, auf die in den Artikeln 40 und 41 Bezug genommen wird, oder den harmonisierten Normen oder technischen Spezifikationen, die gemäß den Harmonisierungsrechtsvorschriften der Union festgelegt wurden, gebührend Rechnung.</w:t>
      </w:r>
    </w:p>
    <w:p>
      <w:r>
        <w:t xml:space="preserve">(2)</w:t>
      </w:r>
    </w:p>
    <w:p>
      <w:r>
        <w:rPr>
          <w:color w:val="555555"/>
          <w:sz w:val="17"/>
        </w:rPr>
        <w:t xml:space="preserve">Zitiervorschlag: Art 96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