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93 KI-VO — Befugnis zur Aufforderung zu Maßnahmen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Soweit erforderlich und angemessen, kann die Kommission die Anbieter auffordern,</w:t>
      </w:r>
    </w:p>
    <w:p>
      <w:r>
        <w:t xml:space="preserve">a) geeignete Maßnahmen zu ergreifen, um die Verpflichtungen gemäß den Artikeln 53 und 54 einzuhalten;</w:t>
      </w:r>
    </w:p>
    <w:p>
      <w:r>
        <w:t xml:space="preserve">b) Risikominderungsmaßnahmen durchzuführen, wenn die gemäß Artikel 92 durchgeführte Bewertung zu ernsthaften und begründeten Bedenken hinsichtlich eines systemischen Risikos auf Unionsebene geführt hat;</w:t>
      </w:r>
    </w:p>
    <w:p>
      <w:r>
        <w:t xml:space="preserve">c) die Bereitstellung des Modells auf dem Markt einzuschränken, es zurückzunehmen oder zurückzurufen.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93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