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79 KI-VO — Verfahren auf nationaler Ebene für den Umgang mit KI-Systemen, die ein Risiko bergen</w:t>
      </w:r>
    </w:p>
    <w:p>
      <w:r>
        <w:rPr>
          <w:color w:val="555555"/>
          <w:sz w:val="18"/>
        </w:rPr>
        <w:t xml:space="preserve">KI-VO</w:t>
      </w:r>
    </w:p>
    <w:p>
      <w:r>
        <w:rPr>
          <w:color w:val="555555"/>
          <w:sz w:val="18"/>
        </w:rPr>
        <w:t xml:space="preserve">Stand: 22.07.2026 (konsolidierte Textfassung, kein amtliches Inkrafttretensdatum)</w:t>
      </w:r>
    </w:p>
    <w:p>
      <w:r>
        <w:t xml:space="preserve">(1)</w:t>
      </w:r>
    </w:p>
    <w:p>
      <w:r>
        <w:t xml:space="preserve">(2) Stellt die Marktüberwachungsbehörde oder gegebenenfalls die Marktüberwachungsbehörde in Zusammenarbeit mit der in Artikel 77 Absatz 1 genannten nationalen Behörde im Verlauf dieser Prüfung fest, dass das KI-System die in dieser Verordnung festgelegten Anforderungen und Pflichten nicht erfüllt, fordert sie den jeweiligen Akteur unverzüglich auf, alle Korrekturmaßnahmen zu ergreifen, die geeignet sind, die Konformität des KI-Systems herzustellen, das KI-System vom Markt zu nehmen oder es innerhalb einer Frist, die die Marktüberwachungsbehörde vorgeben kann, in jedem Fall innerhalb von weniger als 15 Arbeitstagen, oder gemäß den einschlägigen Harmonisierungsrechtsvorschriften der Union zurückzurufen. Die Marktüberwachungsbehörde informiert die betreffende notifizierte Stelle entsprechend. Artikel 18 der Verordnung (EU) 2019/1020 gilt für die in Unterabsatz 2 des vorliegenden Absatzes genannten Maßnahmen.</w:t>
      </w:r>
    </w:p>
    <w:p>
      <w:r>
        <w:t xml:space="preserve">(3)</w:t>
      </w:r>
    </w:p>
    <w:p>
      <w:r>
        <w:t xml:space="preserve">(4)</w:t>
      </w:r>
    </w:p>
    <w:p>
      <w:r>
        <w:t xml:space="preserve">(5)</w:t>
      </w:r>
    </w:p>
    <w:p>
      <w:r>
        <w:t xml:space="preserve">(6) Die Notifizierung nach Absatz 5 enthält alle vorliegenden Angaben, insbesondere die für die Identifizierung des nicht konformen Systems notwendigen Informationen, den Ursprung des KI-Systems und die Lieferkette, die Art der vermuteten Nichtkonformität und das sich daraus ergebende Risiko, die Art und Dauer der ergriffenen nationalen Maßnahmen und die von dem betreffenden Akteur vorgebrachten Argumente. Die Marktüberwachungsbehörden geben insbesondere an, ob die Nichtkonformität eine oder mehrere der folgenden Ursachen hat:</w:t>
      </w:r>
    </w:p>
    <w:p>
      <w:r>
        <w:t xml:space="preserve">a) Missachtung des Verbots der in Artikel 5 genannten KI-Praktiken;</w:t>
      </w:r>
    </w:p>
    <w:p>
      <w:r>
        <w:t xml:space="preserve">b) Nichterfüllung der in Kapitel III Abschnitt 2 festgelegten Anforderungen durch ein Hochrisiko-KI-System;</w:t>
      </w:r>
    </w:p>
    <w:p>
      <w:r>
        <w:t xml:space="preserve">c) Mängel in den in den Artikeln 40 und 41 genannten harmonisierten Normen oder gemeinsamen Spezifikationen, die eine Konformitätsvermutung begründen;</w:t>
      </w:r>
    </w:p>
    <w:p>
      <w:r>
        <w:t xml:space="preserve">d) Nichteinhaltung des Artikels 50.</w:t>
      </w:r>
    </w:p>
    <w:p>
      <w:r>
        <w:t xml:space="preserve">(7)</w:t>
      </w:r>
    </w:p>
    <w:p>
      <w:r>
        <w:t xml:space="preserve">(8)</w:t>
      </w:r>
    </w:p>
    <w:p>
      <w:r>
        <w:t xml:space="preserve">(9)</w:t>
      </w:r>
    </w:p>
    <w:p>
      <w:r>
        <w:rPr>
          <w:color w:val="555555"/>
          <w:sz w:val="17"/>
        </w:rPr>
        <w:t xml:space="preserve">Zitiervorschlag: Art 79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