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66 KI-VO — Aufgaben des KI-Gremiums</w:t>
      </w:r>
    </w:p>
    <w:p>
      <w:r>
        <w:rPr>
          <w:color w:val="555555"/>
          <w:sz w:val="18"/>
        </w:rPr>
        <w:t xml:space="preserve">KI-VO</w:t>
      </w:r>
    </w:p>
    <w:p>
      <w:r>
        <w:rPr>
          <w:color w:val="555555"/>
          <w:sz w:val="18"/>
        </w:rPr>
        <w:t xml:space="preserve">Stand: 22.07.2026 (konsolidierte Textfassung, kein amtliches Inkrafttretensdatum)</w:t>
      </w:r>
    </w:p>
    <w:p>
      <w:r>
        <w:t xml:space="preserve">Das KI-Gremium berät und unterstützt die Kommission und die Mitgliedstaaten, um die einheitliche und wirksame Anwendung dieser Verordnung zu erleichtern. Für diese Zwecke kann das KI-Gremium insbesondere</w:t>
      </w:r>
    </w:p>
    <w:p>
      <w:r>
        <w:t xml:space="preserve">a) zur Koordinierung zwischen den für die Anwendung dieser Verordnung zuständigen nationalen Behörden beitragen und in Zusammenarbeit mit den betreffenden Marktüberwachungsbehörden und vorbehaltlich ihrer Zustimmung gemeinsame Tätigkeiten der Marktüberwachungsbehörden gemäß Artikel 74 Absatz 11 unterstützen;</w:t>
      </w:r>
    </w:p>
    <w:p>
      <w:r>
        <w:t xml:space="preserve">b) technisches und regulatorisches Fachwissen und bewährte Verfahren zusammentragen und unter den Mitgliedstaaten verbreiten;</w:t>
      </w:r>
    </w:p>
    <w:p>
      <w:r>
        <w:t xml:space="preserve">c) zur Durchführung dieser Verordnung Beratung anbieten, insbesondere im Hinblick auf die Durchsetzung der Vorschriften zu KI-Modellen mit allgemeinem Verwendungszweck;</w:t>
      </w:r>
    </w:p>
    <w:p>
      <w:r>
        <w:t xml:space="preserve">d) zur Harmonisierung der Verwaltungspraxis in den Mitgliedstaaten beitragen, auch bezüglich der Ausnahme vom Konformitätsbewertungsverfahren gemäß Artikel 46 und der Funktionsweise von KI-Reallaboren und Tests unter Realbedingungen gemäß den Artikeln 57, 59 und 60;</w:t>
      </w:r>
    </w:p>
    <w:p>
      <w:r>
        <w:t xml:space="preserve">e) auf Anfrage der Kommission oder in Eigeninitiative Empfehlungen und schriftliche Stellungnahmen zu einschlägigen Fragen der Durchführung dieser Verordnung und ihrer einheitlichen und wirksamen Anwendung abgeben, einschließlich</w:t>
      </w:r>
    </w:p>
    <w:p>
      <w:r>
        <w:t xml:space="preserve">i) zur Entwicklung und Anwendung von Verhaltenskodizes und Praxisleitfäden gemäß dieser Verordnung sowie der Leitlinien der Kommission;</w:t>
      </w:r>
    </w:p>
    <w:p>
      <w:r>
        <w:t xml:space="preserve">ii) zur Bewertung und Überprüfung dieser Verordnung gemäß Artikel 112, auch in Bezug auf die Meldung schwerwiegender Vorfälle gemäß Artikel 73 und das Funktionieren der EU-Datenbank gemäß Artikel 71, die Ausarbeitung der delegierten Rechtsakte oder Durchführungsrechtsakte sowie im Hinblick auf mögliche Anpassungen dieser Verordnung an die in Anhang I aufgeführten Harmonisierungsrechtsvorschriften der Union;</w:t>
      </w:r>
    </w:p>
    <w:p>
      <w:r>
        <w:t xml:space="preserve">iii) zu technischen Spezifikationen oder geltenden Normen in Bezug auf die in Kapitel III Abschnitt 2 festgelegten Anforderungen;</w:t>
      </w:r>
    </w:p>
    <w:p>
      <w:r>
        <w:t xml:space="preserve">iv) zur Anwendung der in den Artikeln 40 und 41 genannten harmonisierten Normen oder gemeinsamen Spezifikationen;</w:t>
      </w:r>
    </w:p>
    <w:p>
      <w:r>
        <w:t xml:space="preserve">v) zu Tendenzen, etwa im Bereich der globalen Wettbewerbsfähigkeit Europas auf dem Gebiet der KI, bei der Verbreitung von KI in der Union und bei der Entwicklung digitaler Fähigkeiten;</w:t>
      </w:r>
    </w:p>
    <w:p>
      <w:r>
        <w:t xml:space="preserve">vi) zu Tendenzen im Bereich der sich ständig weiterentwickelnden Typologie der KI-Wertschöpfungsketten insbesondere hinsichtlich der sich daraus ergebenden Auswirkungen auf die Rechenschaftspflicht;</w:t>
      </w:r>
    </w:p>
    <w:p>
      <w:r>
        <w:t xml:space="preserve">vii) zur möglicherweise notwendigen Änderung des Anhangs III im Einklang mit Artikel 7 und zur möglicherweise notwendigen Überarbeitung des Artikels 5 gemäß Artikel 112 unter Berücksichtigung der einschlägigen verfügbaren Erkenntnisse und der neuesten technologischen Entwicklungen;</w:t>
      </w:r>
    </w:p>
    <w:p>
      <w:r>
        <w:t xml:space="preserve">f) die Kommission bei der Förderung der KI-Kompetenz, der Sensibilisierung und Aufklärung der Öffentlichkeit in Bezug auf die Vorteile, Risiken, Schutzmaßnahmen, Rechte und Pflichten im Zusammenhang mit der Nutzung von KI-Systemen unterstützen;</w:t>
      </w:r>
    </w:p>
    <w:p>
      <w:r>
        <w:t xml:space="preserve">g) die Entwicklung gemeinsamer Kriterien und eines gemeinsamen Verständnisses der Marktteilnehmer und der zuständigen Behörden in Bezug auf die in dieser Verordnung vorgesehenen einschlägigen Konzepte erleichtern, auch durch einen Beitrag zur Entwicklung von Benchmarks;</w:t>
      </w:r>
    </w:p>
    <w:p>
      <w:r>
        <w:t xml:space="preserve">h) gegebenenfalls mit anderen Organen, Einrichtungen und sonstigen Stellen der EU, einschlägigen Sachverständigengruppen und Netzwerken der EU insbesondere in den Bereichen Produktsicherheit, Cybersicherheit, Wettbewerb, digitale und Mediendienste, Finanzdienstleistungen, Verbraucherschutz, Datenschutz und Schutz der Grundrechte zusammenarbeiten;</w:t>
      </w:r>
    </w:p>
    <w:p>
      <w:r>
        <w:t xml:space="preserve">i) zur wirksamen Zusammenarbeit mit den zuständigen Behörden von Drittstaaten und mit internationalen Organisationen beitragen;</w:t>
      </w:r>
    </w:p>
    <w:p>
      <w:r>
        <w:t xml:space="preserve">j) die zuständigen nationalen Behörden und die Kommission beim Aufbau des für die Durchführung dieser Verordnung erforderlichen organisatorischen und technischen Fachwissens beraten, unter anderem durch einen Beitrag zur Einschätzung des Schulungsbedarfs des Personals der Mitgliedstaaten, das an der Durchführung dieser Verordnung beteiligt ist;</w:t>
      </w:r>
    </w:p>
    <w:p>
      <w:r>
        <w:t xml:space="preserve">k) dem Büro für Künstliche Intelligenz helfen, die zuständigen nationalen Behörden bei der Einrichtung und Entwicklung von KI-Reallaboren zu unterstützen, und die Zusammenarbeit und den Informationsaustausch zwischen KI-Reallaboren erleichtern;</w:t>
      </w:r>
    </w:p>
    <w:p>
      <w:r>
        <w:t xml:space="preserve">l) zur Entwicklung von Leitfäden beitragen und diesbezüglich entsprechend beraten;</w:t>
      </w:r>
    </w:p>
    <w:p>
      <w:r>
        <w:t xml:space="preserve">m) die Kommission zu internationalen Angelegenheiten im Bereich der KI beraten;</w:t>
      </w:r>
    </w:p>
    <w:p>
      <w:r>
        <w:t xml:space="preserve">n) der Kommission Stellungnahmen zu qualifizierten Warnungen in Bezug auf KI-Modelle mit allgemeinem Verwendungszweck vorlegen;</w:t>
      </w:r>
    </w:p>
    <w:p>
      <w:r>
        <w:t xml:space="preserve">o) Stellungnahmen der Mitgliedstaaten zu qualifizierten Warnungen in Bezug auf KI-Modelle mit allgemeinem Verwendungszweck entgegennehmen sowie zu nationalen Erfahrungen und Praktiken bei der Überwachung und Durchsetzung von KI-Systemen, insbesondere von Systemen, die KI-Modelle mit allgemeinem Verwendungszweck integrieren.</w:t>
      </w:r>
    </w:p>
    <w:p>
      <w:r>
        <w:rPr>
          <w:color w:val="555555"/>
          <w:sz w:val="17"/>
        </w:rPr>
        <w:t xml:space="preserve">Zitiervorschlag: Art 66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