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KI-VO — Einrichtung und Struktur des Europäischen Gremiums für Künstliche Intelligenz</w:t>
      </w:r>
    </w:p>
    <w:p>
      <w:r>
        <w:rPr>
          <w:color w:val="555555"/>
          <w:sz w:val="18"/>
        </w:rPr>
        <w:t xml:space="preserve">KI-VO</w:t>
      </w:r>
    </w:p>
    <w:p>
      <w:r>
        <w:rPr>
          <w:color w:val="555555"/>
          <w:sz w:val="18"/>
        </w:rPr>
        <w:t xml:space="preserve">Stand: 22.07.2026 (konsolidierte Textfassung, kein amtliches Inkrafttretensdatum)</w:t>
      </w:r>
    </w:p>
    <w:p>
      <w:r>
        <w:t xml:space="preserve">(1) Ein Europäisches Gremium für Künstliche Intelligenz (im Folgenden „KI-Gremium“) wird hiermit eingerichtet.</w:t>
      </w:r>
    </w:p>
    <w:p>
      <w:r>
        <w:t xml:space="preserve">(2) Das KI-Gremium setzt sich aus einem Vertreter je Mitgliedstaat zusammen. Der Europäische Datenschutzbeauftragte nimmt als Beobachter teil. Das Büro für Künstliche Intelligenz nimmt ebenfalls an den Sitzungen des KI-Gremiums teil, ohne sich jedoch an den Abstimmungen zu beteiligen. Andere Behörden oder Stellen der Mitgliedstaaten und der Union oder Sachverständige können im Einzelfall zu den Sitzungen des KI-Gremiums eingeladen werden, wenn die erörterten Fragen für sie von Belang sind.</w:t>
      </w:r>
    </w:p>
    <w:p>
      <w:r>
        <w:t xml:space="preserve">(3) Die Vertreter werden von ihren Mitgliedstaaten für einen Zeitraum von drei Jahren benannt, der einmal verlängert werden kann.</w:t>
      </w:r>
    </w:p>
    <w:p>
      <w:r>
        <w:t xml:space="preserve">(4) Die Mitgliedstaaten sorgen dafür, dass ihre Vertreter im KI-Gremium</w:t>
      </w:r>
    </w:p>
    <w:p>
      <w:r>
        <w:t xml:space="preserve">a) in ihrem Mitgliedstaat über die einschlägigen Kompetenzen und Befugnisse verfügen, sodass sie aktiv zur Bewältigung der in Artikel 66 genannten Aufgaben des KI-Gremiums beitragen können;</w:t>
      </w:r>
    </w:p>
    <w:p>
      <w:r>
        <w:t xml:space="preserve">b) gegenüber dem KI-Gremium sowie gegebenenfalls, unter Berücksichtigung der Erfordernisse der Mitgliedstaaten, gegenüber Interessenträgern als zentrale Ansprechpartner fungieren;</w:t>
      </w:r>
    </w:p>
    <w:p>
      <w:r>
        <w:t xml:space="preserve">c) ermächtigt sind, auf die Kohärenz und die Abstimmung zwischen den zuständigen nationalen Behörden in ihrem Mitgliedstaat bei der Durchführung dieser Verordnung hinzuwirken, auch durch Erhebung einschlägiger Daten und Informationen für die Zwecke der Erfüllung ihrer Aufgaben im KI-Gremium.</w:t>
      </w:r>
    </w:p>
    <w:p>
      <w:r>
        <w:t xml:space="preserve">(5) Die benannten Vertreter der Mitgliedstaaten nehmen die Geschäftsordnung des KI-Gremiums mit einer Zweidrittelmehrheit an. In der Geschäftsordnung sind insbesondere die Vorgehensweise für das Auswahlverfahren, die Dauer des Mandats und die genauen Aufgaben des Vorsitzes, die Abstimmungsregelungen und die Organisation der Tätigkeiten des KI-Gremiums und seiner Untergruppen festgelegt.</w:t>
      </w:r>
    </w:p>
    <w:p>
      <w:r>
        <w:t xml:space="preserve">(6) Das KI-Gremium richtet zwei ständige Untergruppen ein, um Marktüberwachungsbehörden eine Plattform für die Zusammenarbeit und den Austausch zu bieten und Behörden über Angelegenheiten, die jeweils die Marktüberwachung und notifizierte Stellen betreffen, zu unterrichten.</w:t>
      </w:r>
    </w:p>
    <w:p>
      <w:r>
        <w:t xml:space="preserve">Die ständige Untergruppe für Marktüberwachung sollte für diese Verordnung als Gruppe für die Verwaltungszusammenarbeit (ADCO-Gruppe) im Sinne des Artikels 30 der Verordnung (EU) 2019/1020 fungieren.</w:t>
      </w:r>
    </w:p>
    <w:p>
      <w:r>
        <w:t xml:space="preserve">Das KI-Gremium kann weitere ständige oder nichtständige Untergruppen einrichten, falls das für die Prüfung bestimmter Fragen zweckmäßig sein sollte. Gegebenenfalls können Vertreter des in Artikel 67 genannten Beratungsforums als Beobachter zu diesen Untergruppen oder zu bestimmten Sitzungen dieser Untergruppen eingeladen werden.</w:t>
      </w:r>
    </w:p>
    <w:p>
      <w:r>
        <w:t xml:space="preserve">(7) Das KI-Gremium wird so organisiert und geführt, dass bei seinen Tätigkeiten Objektivität und Unparteilichkeit gewahrt sind.</w:t>
      </w:r>
    </w:p>
    <w:p>
      <w:r>
        <w:t xml:space="preserve">(8) Den Vorsitz im KI-Gremium führt einer der Vertreter der Mitgliedstaaten. Die Sekretariatsgeschäfte des KI-Gremiums werden vom Büro für Künstliche Intelligenz geführt; dieses beruft auf Anfrage des Vorsitzes die Sitzungen ein und erstellt die Tagesordnung im Einklang mit den Aufgaben des KI-Gremiums gemäß dieser Verordnung und seiner Geschäftsordnung.</w:t>
      </w:r>
    </w:p>
    <w:p>
      <w:r>
        <w:rPr>
          <w:color w:val="555555"/>
          <w:sz w:val="17"/>
        </w:rPr>
        <w:t xml:space="preserve">Zitiervorschlag: Art 65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https://recht.nulegal.eu/gesetze/KI-VO/65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