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KI-VO — Maßnahmen für Anbieter und Betreiber, insbesondere KMU, einschließlich Start-up-Unternehmen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Mitgliedstaaten ergreifen die folgenden Maßnahmen:</w:t>
      </w:r>
    </w:p>
    <w:p>
      <w:r>
        <w:t xml:space="preserve">a) Sie gewähren KMU — einschließlich Start-up-Unternehmen —, die ihren Sitz oder eine Zweigniederlassung in der Union haben, soweit sie die Voraussetzungen und Auswahlkriterien erfüllen, vorrangigen Zugang zu den KI-Reallaboren; der vorrangige Zugang schließt nicht aus, dass andere als die in diesem Absatz genannten KMU, einschließlich Start-up-Unternehmen, Zugang zum KI-Reallabor erhalten, sofern sie ebenfalls die Zulassungsvoraussetzungen und Auswahlkriterien erfüllen;</w:t>
      </w:r>
    </w:p>
    <w:p>
      <w:r>
        <w:t xml:space="preserve">b) sie führen besondere Sensibilisierungs- und Schulungsmaßnahmen für die Anwendung dieser Verordnung durch, die auf die Bedürfnisse von KMU, einschließlich Start-up-Unternehmen, Betreibern sowie gegebenenfalls lokalen Behörden ausgerichtet sind;</w:t>
      </w:r>
    </w:p>
    <w:p>
      <w:r>
        <w:t xml:space="preserve">c) sie nutzen entsprechende bestehende Kanäle und richten gegebenenfalls neue Kanäle für die Kommunikation mit KMU, einschließlich Start-up-Unternehmen, Betreibern, anderen Innovatoren sowie gegebenenfalls lokalen Behörden ein, um Ratschläge zu geben und Fragen zur Durchführung dieser Verordnung, auch bezüglich der Beteiligung an KI-Reallaboren, zu beantworten;</w:t>
      </w:r>
    </w:p>
    <w:p>
      <w:r>
        <w:t xml:space="preserve">d) sie fördern die Beteiligung von KMU und anderen einschlägigen Interessenträgern an der Entwicklung von Normen.</w:t>
      </w:r>
    </w:p>
    <w:p>
      <w:r>
        <w:t xml:space="preserve">(2) Bei der Festsetzung der Gebühren für die Konformitätsbewertung gemäß Artikel 43 werden die besonderen Interessen und Bedürfnisse von KMU, einschließlich Start-up-Unternehmen, berücksichtigt, indem diese Gebühren proportional zur Größe der Unternehmen, der Größe ihres Marktes und anderen einschlägigen Kennzahlen gesenkt werden.</w:t>
      </w:r>
    </w:p>
    <w:p>
      <w:r>
        <w:t xml:space="preserve">(3) Das Büro für Künstliche Intelligenz ergreift die folgenden Maßnahmen:</w:t>
      </w:r>
    </w:p>
    <w:p>
      <w:r>
        <w:t xml:space="preserve">a) es stellt standardisierte Muster für die unter diese Verordnung fallenden Bereiche bereit, wie vom KI-Gremium in seinem Antrag festgelegt;</w:t>
      </w:r>
    </w:p>
    <w:p>
      <w:r>
        <w:t xml:space="preserve">b) es entwickelt und führt eine zentrale Informationsplattform, über die allen Akteuren in der Union leicht nutzbare Informationen zu dieser Verordnung bereitgestellt werden;</w:t>
      </w:r>
    </w:p>
    <w:p>
      <w:r>
        <w:t xml:space="preserve">c) es führt geeignete Informationskampagnen durch, um für die aus dieser Verordnung erwachsenden Pflichten zu sensibilisieren;</w:t>
      </w:r>
    </w:p>
    <w:p>
      <w:r>
        <w:t xml:space="preserve">d) es bewertet und fördert die Zusammenführung bewährter Verfahren im Bereich der mit KI-Systemen verbundenen Vergabeverfahren.</w:t>
      </w:r>
    </w:p>
    <w:p>
      <w:r>
        <w:rPr>
          <w:color w:val="555555"/>
          <w:sz w:val="17"/>
        </w:rPr>
        <w:t xml:space="preserve">Zitiervorschlag: Art 62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https://recht.nulegal.eu/gesetze/KI-VO/62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