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KI-VO — Einstufungsvorschriften für Hochrisiko-KI-Systeme</w:t>
      </w:r>
    </w:p>
    <w:p>
      <w:r>
        <w:rPr>
          <w:color w:val="555555"/>
          <w:sz w:val="18"/>
        </w:rPr>
        <w:t xml:space="preserve">KI-VO</w:t>
      </w:r>
    </w:p>
    <w:p>
      <w:r>
        <w:rPr>
          <w:color w:val="555555"/>
          <w:sz w:val="18"/>
        </w:rPr>
        <w:t xml:space="preserve">Stand: 22.07.2026 (konsolidierte Textfassung, kein amtliches Inkrafttretensdatum)</w:t>
      </w:r>
    </w:p>
    <w:p>
      <w:r>
        <w:t xml:space="preserve">(1) Ungeachtet dessen, ob ein KI-System unabhängig von den unter den Buchstaben a und b genannten Produkten in Verkehr gebracht oder in Betrieb genommen wird, gilt es als Hochrisiko-KI-System, wenn die beiden folgenden Bedingungen erfüllt sind:</w:t>
      </w:r>
    </w:p>
    <w:p>
      <w:r>
        <w:t xml:space="preserve">a) das KI-System soll als Sicherheitsbauteil eines unter die in Anhang I aufgeführten Harmonisierungsrechtsvorschriften der Union fallenden Produkts verwendet werden oder das KI-System ist selbst ein solches Produkt;</w:t>
      </w:r>
    </w:p>
    <w:p>
      <w:r>
        <w:t xml:space="preserve">b) das Produkt, dessen Sicherheitsbauteil gemäß Buchstabe a das KI-System ist, oder das KI-System selbst als Produkt muss einer Konformitätsbewertung durch Dritte im Hinblick auf das Inverkehrbringen oder die Inbetriebnahme dieses Produkts gemäß den in Anhang I aufgeführten Harmonisierungsrechtsvorschriften der Union unterzogen werden.</w:t>
      </w:r>
    </w:p>
    <w:p>
      <w:r>
        <w:t xml:space="preserve">(2) Zusätzlich zu den in Absatz 1 genannten Hochrisiko-KI-Systemen gelten die in Anhang III genannten KI-Systeme als hochriskant.</w:t>
      </w:r>
    </w:p>
    <w:p>
      <w:r>
        <w:t xml:space="preserve">(3) Abweichend von Absatz 2 gilt ein in Anhang III genanntes KI-System nicht als hochriskant, wenn es kein erhebliches Risiko der Beeinträchtigung in Bezug auf die Gesundheit, Sicherheit oder Grundrechte natürlicher Personen birgt, indem es unter anderem nicht das Ergebnis der Entscheidungsfindung wesentlich beeinflusst.</w:t>
      </w:r>
    </w:p>
    <w:p>
      <w:r>
        <w:t xml:space="preserve">Unterabsatz 1 gilt, wenn eine der folgenden Bedingungen erfüllt ist:</w:t>
      </w:r>
    </w:p>
    <w:p>
      <w:r>
        <w:t xml:space="preserve">a) das KI-System ist dazu bestimmt, eine eng gefasste Verfahrensaufgabe durchzuführen;</w:t>
      </w:r>
    </w:p>
    <w:p>
      <w:r>
        <w:t xml:space="preserve">b) das KI-System ist dazu bestimmt, das Ergebnis einer zuvor abgeschlossenen menschlichen Tätigkeit zu verbessern;</w:t>
      </w:r>
    </w:p>
    <w:p>
      <w:r>
        <w:t xml:space="preserve">c) das KI-System ist dazu bestimmt, Entscheidungsmuster oder Abweichungen von früheren Entscheidungsmustern zu erkennen, und ist nicht dazu gedacht, die zuvor abgeschlossene menschliche Bewertung ohne eine angemessene menschliche Überprüfung zu ersetzen oder zu beeinflussen; oder</w:t>
      </w:r>
    </w:p>
    <w:p>
      <w:r>
        <w:t xml:space="preserve">d) das KI-System ist dazu bestimmt, eine vorbereitende Aufgabe für eine Bewertung durchzuführen, die für die Zwecke der in Anhang III aufgeführten Anwendungsfälle relevant ist.</w:t>
      </w:r>
    </w:p>
    <w:p>
      <w:r>
        <w:t xml:space="preserve">Ungeachtet des Unterabsatzes 1 gilt ein in Anhang III aufgeführtes KI-System immer dann als hochriskant, wenn es ein Profiling natürlicher Personen vornimmt.</w:t>
      </w:r>
    </w:p>
    <w:p>
      <w:r>
        <w:t xml:space="preserve">(4) Ein Anbieter, der der Auffassung ist, dass ein in Anhang III aufgeführtes KI-System nicht hochriskant ist, dokumentiert seine Bewertung, bevor dieses System in Verkehr gebracht oder in Betrieb genommen wird. Dieser Anbieter unterliegt der Registrierungspflicht gemäß Artikel 49 Absatz 2. Auf Verlangen der zuständigen nationalen Behörden legt der Anbieter die Dokumentation der Bewertung vor.</w:t>
      </w:r>
    </w:p>
    <w:p>
      <w:r>
        <w:t xml:space="preserve">(5) Die Kommission stellt nach Konsultation des Europäischen Gremiums für Künstliche Intelligenz (im Folgenden „KI-Gremium“) spätestens bis zum 2. Februar 2026 Leitlinien zur praktischen Umsetzung dieses Artikels gemäß Artikel 96 und eine umfassende Liste praktischer Beispiele für Anwendungsfälle für KI-Systeme, die hochriskant oder nicht hochriskant sind, bereit.</w:t>
      </w:r>
    </w:p>
    <w:p>
      <w:r>
        <w:t xml:space="preserve">(6) Die Kommission ist befugt, gemäß Artikel 97 delegierte Rechtsakte zu erlassen, um Absatz 3 Unterabsatz 2 des vorliegenden Artikels zu ändern, indem neue Bedingungen zu den darin genannten Bedingungen hinzugefügt oder diese geändert werden, wenn konkrete und zuverlässige Beweise für das Vorhandensein von KI-Systemen vorliegen, die in den Anwendungsbereich von Anhang III fallen, jedoch kein erhebliches Risiko der Beeinträchtigung in Bezug auf die Gesundheit, Sicherheit oder Grundrechte natürlicher Personen bergen.</w:t>
      </w:r>
    </w:p>
    <w:p>
      <w:r>
        <w:t xml:space="preserve">(7) Die Kommission erlässt gemäß Artikel 97 delegierte Rechtsakte, um Absatz 3 Unterabsatz 2 des vorliegenden Artikels zu ändern, indem eine der darin festgelegten Bedingungen gestrichen wird, wenn konkrete und zuverlässige Beweise dafür vorliegen, dass dies für die Aufrechterhaltung des Schutzniveaus in Bezug auf Gesundheit, Sicherheit und die in dieser Verordnung vorgesehenen Grundrechte erforderlich ist.</w:t>
      </w:r>
    </w:p>
    <w:p>
      <w:r>
        <w:t xml:space="preserve">(8) Eine Änderung der in Absatz 3 Unterabsatz 2 festgelegten Bedingungen, die gemäß den Absätzen 6 und 7 des vorliegenden Artikels erlassen wurde, darf das allgemeine Schutzniveau in Bezug auf Gesundheit, Sicherheit und die in dieser Verordnung vorgesehenen Grundrechte nicht senken; dabei ist die Kohärenz mit den gemäß Artikel 7 Absatz 1 erlassenen delegierten Rechtsakten sicherzustellen und die Marktentwicklungen und die technologischen Entwicklungen sind zu berücksichtigen.</w:t>
      </w:r>
    </w:p>
    <w:p>
      <w:r>
        <w:rPr>
          <w:color w:val="555555"/>
          <w:sz w:val="17"/>
        </w:rPr>
        <w:t xml:space="preserve">Zitiervorschlag: Art 6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