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56 KI-VO — Praxisleitfäden</w:t>
      </w:r>
    </w:p>
    <w:p>
      <w:r>
        <w:rPr>
          <w:color w:val="555555"/>
          <w:sz w:val="18"/>
        </w:rPr>
        <w:t xml:space="preserve">KI-VO</w:t>
      </w:r>
    </w:p>
    <w:p>
      <w:r>
        <w:rPr>
          <w:color w:val="555555"/>
          <w:sz w:val="18"/>
        </w:rPr>
        <w:t xml:space="preserve">Stand: 22.07.2026 (konsolidierte Textfassung, kein amtliches Inkrafttretensdatum)</w:t>
      </w:r>
    </w:p>
    <w:p>
      <w:r>
        <w:t xml:space="preserve">(1)</w:t>
      </w:r>
    </w:p>
    <w:p>
      <w:r>
        <w:t xml:space="preserve">(2) Das Büro für Künstliche Intelligenz und das KI-Gremium streben an, sicherzustellen, dass die Praxisleitfäden mindestens die in den Artikeln 53 und 55 vorgesehenen Pflichten abdecken, einschließlich der folgenden Aspekte:</w:t>
      </w:r>
    </w:p>
    <w:p>
      <w:r>
        <w:t xml:space="preserve">a) Mittel, mit denen sichergestellt wird, dass die in Artikel 53 Absatz 1 Buchstaben a und b genannten Informationen vor dem Hintergrund der Marktentwicklungen und technologischen Entwicklungen auf dem neuesten Stand gehalten werden;</w:t>
      </w:r>
    </w:p>
    <w:p>
      <w:r>
        <w:t xml:space="preserve">b) die angemessene Detailgenauigkeit bei der Zusammenfassung der für das Training verwendeten Inhalte;</w:t>
      </w:r>
    </w:p>
    <w:p>
      <w:r>
        <w:t xml:space="preserve">c) die Ermittlung von Art und Wesen der systemischen Risiken auf Unionsebene, gegebenenfalls einschließlich ihrer Ursachen;</w:t>
      </w:r>
    </w:p>
    <w:p>
      <w:r>
        <w:t xml:space="preserve">d) die Maßnahmen, Verfahren und Modalitäten für die Bewertung und das Management der systemischen Risiken auf Unionsebene, einschließlich ihrer Dokumentation, die in einem angemessenen Verhältnis zu den Risiken stehen, ihrer Schwere und Wahrscheinlichkeit Rechnung tragen und die spezifischen Herausforderungen bei der Bewältigung dieser Risiken vor dem Hintergrund der möglichen Arten der Entstehung und des Eintretens solcher Risiken entlang der KI-Wertschöpfungskette berücksichtigen.</w:t>
      </w:r>
    </w:p>
    <w:p>
      <w:r>
        <w:t xml:space="preserve">(3)</w:t>
      </w:r>
    </w:p>
    <w:p>
      <w:r>
        <w:t xml:space="preserve">(4)</w:t>
      </w:r>
    </w:p>
    <w:p>
      <w:r>
        <w:t xml:space="preserve">(5)</w:t>
      </w:r>
    </w:p>
    <w:p>
      <w:r>
        <w:t xml:space="preserve">(6) Die Kommission kann im Wege eines Durchführungsrechtsakts einen Praxisleitfaden genehmigen und ihm in der Union allgemeine Gültigkeit verleihen. Dieser Durchführungsrechtsakt wird gemäß dem in Artikel 98 Absatz 2 genannten Prüfverfahren erlassen.</w:t>
      </w:r>
    </w:p>
    <w:p>
      <w:r>
        <w:t xml:space="preserve">(7)</w:t>
      </w:r>
    </w:p>
    <w:p>
      <w:r>
        <w:t xml:space="preserve">(8)</w:t>
      </w:r>
    </w:p>
    <w:p>
      <w:r>
        <w:t xml:space="preserve">(9) Kann bis zum 2. August 2025 ein Verhaltenskodex nicht fertiggestellt werden oder erachtet das Büro für Künstliche Intelligenz dies nach seiner Bewertung gemäß Absatz 6 des vorliegenden Artikels für nicht angemessen, kann die Kommission im Wege von Durchführungsrechtsakten gemeinsame Vorschriften für die Umsetzung der in den Artikeln 53 und 55 vorgesehenen Pflichten, einschließlich der in Absatz 2 des vorliegenden Artikels genannten Aspekte, festlegen. Diese Durchführungsrechtsakte werden gemäß dem in Artikel 98 Absatz 2 genannten Prüfverfahren erlassen.</w:t>
      </w:r>
    </w:p>
    <w:p>
      <w:r>
        <w:rPr>
          <w:color w:val="555555"/>
          <w:sz w:val="17"/>
        </w:rPr>
        <w:t xml:space="preserve">Zitiervorschlag: Art 56 KI-VO</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https://recht.nulegal.eu/gesetze/KI-VO/56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