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KI-VO — Pflichten der Anbieter von KI-Modellen mit allgemeinem Verwendungszweck mit systemischem Risiko</w:t>
      </w:r>
    </w:p>
    <w:p>
      <w:r>
        <w:rPr>
          <w:color w:val="555555"/>
          <w:sz w:val="18"/>
        </w:rPr>
        <w:t xml:space="preserve">KI-VO</w:t>
      </w:r>
    </w:p>
    <w:p>
      <w:r>
        <w:rPr>
          <w:color w:val="555555"/>
          <w:sz w:val="18"/>
        </w:rPr>
        <w:t xml:space="preserve">Stand: 22.07.2026 (konsolidierte Textfassung, kein amtliches Inkrafttretensdatum)</w:t>
      </w:r>
    </w:p>
    <w:p>
      <w:r>
        <w:t xml:space="preserve">(1) Zusätzlich zu den in den Artikeln 53 und 54 aufgeführten Pflichten müssen Anbieter von KI-Modellen mit allgemeinem Verwendungszweck mit systemischem Risiko</w:t>
      </w:r>
    </w:p>
    <w:p>
      <w:r>
        <w:t xml:space="preserve">a) eine Modellbewertung mit standardisierten Protokollen und Instrumenten, die dem Stand der Technik entsprechen, durchführen, wozu auch die Durchführung und Dokumentation von Angriffstests beim Modell gehören, um systemische Risiken zu ermitteln und zu mindern,</w:t>
      </w:r>
    </w:p>
    <w:p>
      <w:r>
        <w:t xml:space="preserve">b) mögliche systemische Risiken auf Unionsebene — einschließlich ihrer Ursachen —, die sich aus der Entwicklung, dem Inverkehrbringen oder der Verwendung von KI-Modellen mit allgemeinem Verwendungszweck mit systemischem Risiko ergeben können, bewerten und mindern,</w:t>
      </w:r>
    </w:p>
    <w:p>
      <w:r>
        <w:t xml:space="preserve">c) einschlägige Informationen über schwerwiegende Vorfälle und mögliche Abhilfemaßnahmen erfassen und dokumentieren und das Büro für Künstliche Intelligenz und gegebenenfalls die zuständigen nationalen Behörden unverzüglich darüber unterrichten,</w:t>
      </w:r>
    </w:p>
    <w:p>
      <w:r>
        <w:t xml:space="preserve">d) ein angemessenes Maß an Cybersicherheit für die KI-Modelle mit allgemeinem Verwendungszweck mit systemischem Risiko und die physische Infrastruktur des Modells gewährleisten.</w:t>
      </w:r>
    </w:p>
    <w:p>
      <w:r>
        <w:t xml:space="preserve">(2) Anbieter von KI-Modellen mit allgemeinem Verwendungszweck mit systemischem Risiko können sich bis zur Veröffentlichung einer harmonisierten Norm auf Praxisleitfäden im Sinne des Artikels 56 stützen, um die Einhaltung der in Absatz 1 des vorliegenden Artikels genannten Pflichten nachzuweisen. Die Einhaltung der harmonisierten europäischen Norm begründet für die Anbieter die Vermutung der Konformität, insoweit diese Normen diese Verpflichtungen abdecken. Anbieter von KI-Modellen mit allgemeinem Verwendungszweck mit systemischem Risiko, die einen genehmigten Praxisleitfaden nicht befolgen oder eine harmonisierte europäische Norm nicht einhalten, müssen geeignete alternative Verfahren der Einhaltung aufzeigen, die von der Kommission zu bewerten sind.</w:t>
      </w:r>
    </w:p>
    <w:p>
      <w:r>
        <w:t xml:space="preserve">(3) Jegliche Informationen oder Dokumentation, die gemäß diesem Artikel erlangt werden, werden im Einklang mit den in Artikel 78 festgelegten Vertraulichkeitspflichten behandelt.</w:t>
      </w:r>
    </w:p>
    <w:p>
      <w:r>
        <w:rPr>
          <w:color w:val="555555"/>
          <w:sz w:val="17"/>
        </w:rPr>
        <w:t xml:space="preserve">Zitiervorschlag: Art 55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