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51 KI-VO — Einstufung von KI-Modellen mit allgemeinem Verwendungszweck als KI-Modelle mit allgemeinem Verwendungszweck mit systemischem Risiko</w:t>
      </w:r>
    </w:p>
    <w:p>
      <w:r>
        <w:rPr>
          <w:color w:val="555555"/>
          <w:sz w:val="18"/>
        </w:rPr>
        <w:t xml:space="preserve">KI-VO</w:t>
      </w:r>
    </w:p>
    <w:p>
      <w:r>
        <w:rPr>
          <w:color w:val="555555"/>
          <w:sz w:val="18"/>
        </w:rPr>
        <w:t xml:space="preserve">Stand: 22.07.2026 (konsolidierte Textfassung, kein amtliches Inkrafttretensdatum)</w:t>
      </w:r>
    </w:p>
    <w:p>
      <w:r>
        <w:t xml:space="preserve">(1) Ein KI-Modell mit allgemeinem Verwendungszweck wird als KI-Modell mit allgemeinem Verwendungszweck mit systemischem Risiko eingestuft, wenn eine der folgenden Bedingungen erfüllt ist:</w:t>
      </w:r>
    </w:p>
    <w:p>
      <w:r>
        <w:t xml:space="preserve">a) Es verfügt über Fähigkeiten mit hohem Wirkungsgrad, die mithilfe geeigneter technischer Instrumente und Methoden, einschließlich Indikatoren und Benchmarks, bewertet werden;</w:t>
      </w:r>
    </w:p>
    <w:p>
      <w:r>
        <w:t xml:space="preserve">b) einem unter Berücksichtigung der in Anhang XIII festgelegten Kriterien von der Kommission von Amts wegen oder aufgrund einer qualifizierten Warnung des wissenschaftlichen Gremiums getroffenen Entscheidung zufolge verfügt es über Fähigkeiten oder eine Wirkung, die denen gemäß Buchstabe a entsprechen.</w:t>
      </w:r>
    </w:p>
    <w:p>
      <w:r>
        <w:t xml:space="preserve">(2)</w:t>
      </w:r>
    </w:p>
    <w:p>
      <w:r>
        <w:t xml:space="preserve">(3)</w:t>
      </w:r>
    </w:p>
    <w:p>
      <w:r>
        <w:rPr>
          <w:color w:val="555555"/>
          <w:sz w:val="17"/>
        </w:rPr>
        <w:t xml:space="preserve">Zitiervorschlag: Art 51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