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KI-VO — Harmonisierte Normen und Normungsdokumente</w:t>
      </w:r>
    </w:p>
    <w:p>
      <w:r>
        <w:rPr>
          <w:color w:val="555555"/>
          <w:sz w:val="18"/>
        </w:rPr>
        <w:t xml:space="preserve">KI-VO</w:t>
      </w:r>
    </w:p>
    <w:p>
      <w:r>
        <w:rPr>
          <w:color w:val="555555"/>
          <w:sz w:val="18"/>
        </w:rPr>
        <w:t xml:space="preserve">Stand: 22.07.2026 (konsolidierte Textfassung, kein amtliches Inkrafttretensdatum)</w:t>
      </w:r>
    </w:p>
    <w:p>
      <w:r>
        <w:t xml:space="preserve">(1) Bei Hochrisiko-KI-Systemen oder KI-Modellen mit allgemeinem Verwendungszweck, die mit harmonisierten Normen oder Teilen davon, deren Fundstellen gemäß der Verordnung (EU) Nr. 1025/2012 im Amtsblatt der Europäischen Union veröffentlicht wurden, übereinstimmen, wird eine Konformität mit den Anforderungen gemäß Abschnitt 2 des vorliegenden Kapitels oder gegebenenfalls mit den Pflichten gemäß Kapitel V Abschnitte 2 und 3 der vorliegenden Verordnung vermutet, soweit diese Anforderungen oder Verpflichtungen von den Normen abgedeckt sind.</w:t>
      </w:r>
    </w:p>
    <w:p>
      <w:r>
        <w:t xml:space="preserve">(2) Gemäß Artikel 10 der Verordnung (EU) Nr. 1025/2012 erteilt die Kommission unverzüglich Normungsaufträge, die alle Anforderungen gemäß Abschnitt 2 des vorliegenden Kapitels abdecken und gegebenenfalls Normungsaufträge, die Pflichten gemäß Kapitel V Abschnitte 2 und 3 der vorliegenden Verordnung abdecken. In dem Normungsauftrag werden auch Dokumente zu den Berichterstattungs- und Dokumentationsverfahren im Hinblick auf die Verbesserung der Ressourcenleistung von KI-Systemen z. B. durch die Verringerung des Energie- und sonstigen Ressourcenverbrauchs des Hochrisiko-KI-Systems während seines gesamten Lebenszyklus und zu der energieeffizienten Entwicklung von KI-Modellen mit allgemeinem Verwendungszweck verlangt. Bei der Ausarbeitung des Normungsauftrags konsultiert die Kommission das KI-Gremium und die einschlägigen Interessenträger, darunter das Beratungsforum.</w:t>
      </w:r>
    </w:p>
    <w:p>
      <w:r>
        <w:t xml:space="preserve">Bei der Erteilung eines Normungsauftrags an die europäischen Normungsorganisationen gibt die Kommission an, dass die Normen klar und — u. a. mit den Normen, die in den verschiedenen Sektoren für Produkte entwickelt wurden, die unter die in Anhang I aufgeführten geltenden Harmonisierungsrechtsvorschriften der Union fallen — konsistent sein müssen und sicherstellen sollen, dass die in der Union in Verkehr gebrachten oder in Betrieb genommenen Hochrisiko-KI-Systeme oder KI-Modelle mit allgemeinem Verwendungszweck die in dieser Verordnung festgelegten einschlägigen Anforderungen oder Pflichten erfüllen.</w:t>
      </w:r>
    </w:p>
    <w:p>
      <w:r>
        <w:t xml:space="preserve">Die Kommission fordert die europäischen Normungsorganisationen auf, Nachweise dafür vorzulegen, dass sie sich nach besten Kräften bemühen, die in den Unterabsätzen 1 und 2 dieses Absatzes genannten Ziele im Einklang mit Artikel 24 der Verordnung (EU) Nr. 1025/2012 zu erreichen.</w:t>
      </w:r>
    </w:p>
    <w:p>
      <w:r>
        <w:t xml:space="preserve">(3) Die am Normungsprozess Beteiligten bemühen sich, Investitionen und Innovationen im Bereich der KI, u. a. durch Erhöhung der Rechtssicherheit, sowie der Wettbewerbsfähigkeit und des Wachstums des Unionsmarktes zu fördern und zur Stärkung der weltweiten Zusammenarbeit bei der Normung und zur Berücksichtigung bestehender internationaler Normen im Bereich der KI, die mit den Werten, Grundrechten und Interessen der Union im Einklang stehen, beizutragen und die Multi-Stakeholder-Governance zu verbessern, indem eine ausgewogene Vertretung der Interessen und eine wirksame Beteiligung aller relevanten Interessenträger gemäß den Artikeln 5, 6 und 7 der Verordnung (EU) Nr. 1025/2012 sichergestellt werden.</w:t>
      </w:r>
    </w:p>
    <w:p>
      <w:r>
        <w:rPr>
          <w:color w:val="555555"/>
          <w:sz w:val="17"/>
        </w:rPr>
        <w:t xml:space="preserve">Zitiervorschlag: Art 40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https://recht.nulegal.eu/gesetze/KI-VO/40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