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39 KI-VO — Konformitätsbewertungsstellen in Drittländern</w:t>
      </w:r>
    </w:p>
    <w:p>
      <w:r>
        <w:rPr>
          <w:color w:val="555555"/>
          <w:sz w:val="18"/>
        </w:rPr>
        <w:t xml:space="preserve">KI-VO</w:t>
      </w:r>
    </w:p>
    <w:p>
      <w:r>
        <w:rPr>
          <w:color w:val="555555"/>
          <w:sz w:val="18"/>
        </w:rPr>
        <w:t xml:space="preserve">Stand: 22.07.2026 (konsolidierte Textfassung, kein amtliches Inkrafttretensdatum)</w:t>
      </w:r>
    </w:p>
    <w:p>
      <w:r>
        <w:t xml:space="preserve">Konformitätsbewertungsstellen, die nach dem Recht eines Drittlands errichtet wurden, mit dem die Union ein Abkommen geschlossen hat, können ermächtigt werden, die Tätigkeiten notifizierter Stellen gemäß dieser Verordnung durchzuführen, sofern sie die Anforderungen gemäß Artikel 31 erfüllen oder das gleiche Maß an Konformität gewährleisten.</w:t>
      </w:r>
    </w:p>
    <w:p>
      <w:r>
        <w:rPr>
          <w:color w:val="555555"/>
          <w:sz w:val="17"/>
        </w:rPr>
        <w:t xml:space="preserve">Zitiervorschlag: Art 39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