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KI-VO — Anfechtungen der Kompetenz notifizierter Stellen</w:t>
      </w:r>
    </w:p>
    <w:p>
      <w:r>
        <w:rPr>
          <w:color w:val="555555"/>
          <w:sz w:val="18"/>
        </w:rPr>
        <w:t xml:space="preserve">KI-VO</w:t>
      </w:r>
    </w:p>
    <w:p>
      <w:r>
        <w:rPr>
          <w:color w:val="555555"/>
          <w:sz w:val="18"/>
        </w:rPr>
        <w:t xml:space="preserve">Stand: 22.07.2026 (konsolidierte Textfassung, kein amtliches Inkrafttretensdatum)</w:t>
      </w:r>
    </w:p>
    <w:p>
      <w:r>
        <w:t xml:space="preserve">(1) Die Kommission untersucht erforderlichenfalls alle Fälle, in denen begründete Zweifel an der Kompetenz einer notifizierten Stelle oder daran bestehen, dass eine notifizierte Stelle die in Artikel 31 festgelegten Anforderungen und ihre geltenden Pflichten weiterhin erfüllt.</w:t>
      </w:r>
    </w:p>
    <w:p>
      <w:r>
        <w:t xml:space="preserve">(2) Die notifizierende Behörde stellt der Kommission auf Anfrage alle Informationen über die Notifizierung oder die Aufrechterhaltung der Kompetenz der betreffenden notifizierten Stelle zur Verfügung.</w:t>
      </w:r>
    </w:p>
    <w:p>
      <w:r>
        <w:t xml:space="preserve">(3) Die Kommission stellt sicher, dass alle im Verlauf ihrer Untersuchungen gemäß diesem Artikel erlangten sensiblen Informationen gemäß Artikel 78 vertraulich behandelt werden.</w:t>
      </w:r>
    </w:p>
    <w:p>
      <w:r>
        <w:t xml:space="preserve">(4) Stellt die Kommission fest, dass eine notifizierte Stelle die Anforderungen für ihre Notifizierung nicht oder nicht mehr erfüllt, so informiert sie den notifizierenden Mitgliedstaat entsprechend und fordert ihn auf, die erforderlichen Abhilfemaßnahmen zu treffen, einschließlich einer Aussetzung oder eines Widerrufs der Notifizierung, sofern dies nötig ist. Versäumt es ein Mitgliedstaat, die erforderlichen Abhilfemaßnahmen zu ergreifen, kann die Kommission die Benennung im Wege eines Durchführungsrechtsakts aussetzen, einschränken oder widerrufen. Dieser Durchführungsrechtsakt wird gemäß dem in Artikel 98 Absatz 2 genannten Prüfverfahren erlassen.</w:t>
      </w:r>
    </w:p>
    <w:p>
      <w:r>
        <w:rPr>
          <w:color w:val="555555"/>
          <w:sz w:val="17"/>
        </w:rPr>
        <w:t xml:space="preserve">Zitiervorschlag: Art 37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