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KI-VO — Zweigstellen notifizierter Stellen und Vergabe von Unteraufträgen</w:t>
      </w:r>
    </w:p>
    <w:p>
      <w:r>
        <w:rPr>
          <w:color w:val="555555"/>
          <w:sz w:val="18"/>
        </w:rPr>
        <w:t xml:space="preserve">KI-VO</w:t>
      </w:r>
    </w:p>
    <w:p>
      <w:r>
        <w:rPr>
          <w:color w:val="555555"/>
          <w:sz w:val="18"/>
        </w:rPr>
        <w:t xml:space="preserve">Stand: 22.07.2026 (konsolidierte Textfassung, kein amtliches Inkrafttretensdatum)</w:t>
      </w:r>
    </w:p>
    <w:p>
      <w:r>
        <w:t xml:space="preserve">(1) Vergibt eine notifizierte Stelle bestimmte mit der Konformitätsbewertung verbundene Aufgaben an Unterauftragnehmer oder überträgt sie diese einer Zweigstelle, so stellt sie sicher, dass der Unterauftragnehmer oder die Zweigstelle die Anforderungen des Artikels 31 erfüllt, und informiert die notifizierende Behörde darüber.</w:t>
      </w:r>
    </w:p>
    <w:p>
      <w:r>
        <w:t xml:space="preserve">(2) Die notifizierten Stellen tragen die volle Verantwortung für Arbeiten, die von jedweden Unterauftragnehmern oder Zweigstellen ausgeführt werden.</w:t>
      </w:r>
    </w:p>
    <w:p>
      <w:r>
        <w:t xml:space="preserve">(3) Tätigkeiten dürfen nur mit Zustimmung des Anbieters an einen Unterauftragnehmer vergeben oder einer Zweigstelle übertragen werden. Die notifizierten Stellen veröffentlichen ein Verzeichnis ihrer Zweigstellen.</w:t>
      </w:r>
    </w:p>
    <w:p>
      <w:r>
        <w:t xml:space="preserve">(4) Die einschlägigen Unterlagen über die Bewertung der Qualifikation des Unterauftragnehmers oder der Zweigstelle und die von ihnen gemäß dieser Verordnung ausgeführten Arbeiten werden für einen Zeitraum von fünf Jahren ab dem Datum der Beendigung der Unterauftragsvergabe für die notifizierende Behörde bereitgehalten.</w:t>
      </w:r>
    </w:p>
    <w:p>
      <w:r>
        <w:rPr>
          <w:color w:val="555555"/>
          <w:sz w:val="17"/>
        </w:rPr>
        <w:t xml:space="preserve">Zitiervorschlag: Art 33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https://recht.nulegal.eu/gesetze/KI-VO/33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