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KI-VO — Grundrechte-Folgenabschätzung für Hochrisiko-KI-Systeme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Vor der Inbetriebnahme eines Hochrisiko-KI-Systems gemäß Artikel 6 Absatz 2 — mit Ausnahme von Hochrisiko-KI-Systemen, die in dem in Anhang III Nummer 2 aufgeführten Bereich verwendet werden sollen — führen Betreiber, bei denen es sich um Einrichtungen des öffentlichen Rechts oder private Einrichtungen, die öffentliche Dienste erbringen, handelt, und Betreiber von Hochrisiko-KI-Systemen gemäß Anhang III Nummer 5 Buchstaben b und c eine Abschätzung der Auswirkungen, die die Verwendung eines solchen Systems auf die Grundrechte haben kann, durch. Zu diesem Zweck führen die Betreiber eine Abschätzung durch, die Folgendes umfasst:</w:t>
      </w:r>
    </w:p>
    <w:p>
      <w:r>
        <w:t xml:space="preserve">a) eine Beschreibung der Verfahren des Betreibers, bei denen das Hochrisiko-KI-System im Einklang mit seiner Zweckbestimmung verwendet wird;</w:t>
      </w:r>
    </w:p>
    <w:p>
      <w:r>
        <w:t xml:space="preserve">b) eine Beschreibung des Zeitraums und der Häufigkeit, innerhalb dessen bzw. mit der jedes Hochrisiko-KI-System verwendet werden soll;</w:t>
      </w:r>
    </w:p>
    <w:p>
      <w:r>
        <w:t xml:space="preserve">c) die Kategorien der natürlichen Personen und Personengruppen, die von seiner Verwendung im spezifischen Kontext betroffen sein könnten;</w:t>
      </w:r>
    </w:p>
    <w:p>
      <w:r>
        <w:t xml:space="preserve">d) die spezifischen Schadensrisiken, die sich auf die gemäß Buchstabe c dieses Absatzes ermittelten Kategorien natürlicher Personen oder Personengruppen auswirken könnten, unter Berücksichtigung der vom Anbieter gemäß Artikel 13 bereitgestellten Informationen;</w:t>
      </w:r>
    </w:p>
    <w:p>
      <w:r>
        <w:t xml:space="preserve">e) eine Beschreibung der Umsetzung von Maßnahmen der menschlichen Aufsicht entsprechend den Betriebsanleitungen;</w:t>
      </w:r>
    </w:p>
    <w:p>
      <w:r>
        <w:t xml:space="preserve">f) die Maßnahmen, die im Falle des Eintretens dieser Risiken zu ergreifen sind, einschließlich der Regelungen für die interne Unternehmensführung und Beschwerdemechanismen.</w:t>
      </w:r>
    </w:p>
    <w:p>
      <w:r>
        <w:t xml:space="preserve">(2) Die in Absatz 1 festgelegte Pflicht gilt für die erste Verwendung eines Hochrisiko-KI-Systems. Der Betreiber kann sich in ähnlichen Fällen auf zuvor durchgeführte Grundrechte-Folgenabschätzungen oder bereits vorhandene Folgenabschätzungen, die vom Anbieter durchgeführt wurden, stützen. Gelangt der Betreiber während der Verwendung des Hochrisiko-KI-Systems zur Auffassung, dass sich eines der in Absatz 1 aufgeführten Elemente geändert hat oder nicht mehr auf dem neuesten Stand ist, so unternimmt der Betreiber die erforderlichen Schritte, um die Informationen zu aktualisieren.</w:t>
      </w:r>
    </w:p>
    <w:p>
      <w:r>
        <w:t xml:space="preserve">(3) Sobald die Abschätzung gemäß Absatz 1 des vorliegenden Artikels durchgeführt wurde, teilt der Betreiber der Marktüberwachungsbehörde ihre Ergebnisse mit, indem er das ausgefüllte, in Absatz 5 des vorliegenden Artikels genannte Muster als Teil der Mitteilung übermittelt. In dem in Artikel 46 Absatz 1 genannten Fall können die Betreiber von der Mitteilungspflicht befreit werden.</w:t>
      </w:r>
    </w:p>
    <w:p>
      <w:r>
        <w:t xml:space="preserve">(4) Wird eine der in diesem Artikel festgelegten Pflichten bereits infolge einer gemäß Artikel 35 der Verordnung (EU) 2016/679 oder Artikel 27 der Richtlinie (EU) 2016/680 durchgeführten Datenschutz-Folgenabschätzung erfüllt, so ergänzt die Grundrechte-Folgenabschätzung gemäß Absatz 1 des vorliegenden Artikels diese Datenschutz-Folgenabschätzung.</w:t>
      </w:r>
    </w:p>
    <w:p>
      <w:r>
        <w:t xml:space="preserve">(5) Das Büro für Künstliche Intelligenz arbeitet ein Muster für einen Fragebogen — auch mithilfe eines automatisierten Instruments — aus, um die Betreiber in die Lage zu versetzen, ihren Pflichten gemäß diesem Artikel in vereinfachter Weise nachzukommen.</w:t>
      </w:r>
    </w:p>
    <w:p>
      <w:r>
        <w:rPr>
          <w:color w:val="555555"/>
          <w:sz w:val="17"/>
        </w:rPr>
        <w:t xml:space="preserve">Zitiervorschlag: Art 27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https://recht.nulegal.eu/gesetze/KI-VO/27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