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26 KI-VO — Pflichten der Betreiber von Hochrisiko-KI-Systemen</w:t>
      </w:r>
    </w:p>
    <w:p>
      <w:r>
        <w:rPr>
          <w:color w:val="555555"/>
          <w:sz w:val="18"/>
        </w:rPr>
        <w:t xml:space="preserve">KI-VO</w:t>
      </w:r>
    </w:p>
    <w:p>
      <w:r>
        <w:rPr>
          <w:color w:val="555555"/>
          <w:sz w:val="18"/>
        </w:rPr>
        <w:t xml:space="preserve">Stand: 22.07.2026 (konsolidierte Textfassung, kein amtliches Inkrafttretensdatum)</w:t>
      </w:r>
    </w:p>
    <w:p>
      <w:r>
        <w:t xml:space="preserve">(1)</w:t>
      </w:r>
    </w:p>
    <w:p>
      <w:r>
        <w:t xml:space="preserve">(2)</w:t>
      </w:r>
    </w:p>
    <w:p>
      <w:r>
        <w:t xml:space="preserve">(3)</w:t>
      </w:r>
    </w:p>
    <w:p>
      <w:r>
        <w:t xml:space="preserve">(4)</w:t>
      </w:r>
    </w:p>
    <w:p>
      <w:r>
        <w:t xml:space="preserve">(5) Bei Betreibern, die Finanzinstitute sind und gemäß den Rechtsvorschriften der Union über Finanzdienstleistungen Anforderungen in Bezug auf ihre Regelungen oder Verfahren der internen Unternehmensführung, unterliegen, gilt die in Unterabsatz 1 festgelegte Überwachungspflicht als erfüllt, wenn die Vorschriften über Regelungen, Verfahren oder Mechanismen der internen Unternehmensführung gemäß einschlägigem Recht über Finanzdienstleistungen eingehalten werden.</w:t>
      </w:r>
    </w:p>
    <w:p>
      <w:r>
        <w:t xml:space="preserve">(6) Betreiber, die Finanzinstitute sind und gemäß den Rechtsvorschriften der Union über Finanzdienstleistungen Anforderungen in Bezug auf ihre Regelungen oder Verfahren der internen Unternehmensführung unterliegen, bewahren die Protokolle als Teil der gemäß einschlägigem Unionsecht über Finanzdienstleistungen aufzubewahrenden Dokumentation auf.</w:t>
      </w:r>
    </w:p>
    <w:p>
      <w:r>
        <w:t xml:space="preserve">(7)</w:t>
      </w:r>
    </w:p>
    <w:p>
      <w:r>
        <w:t xml:space="preserve">(8)</w:t>
      </w:r>
    </w:p>
    <w:p>
      <w:r>
        <w:t xml:space="preserve">(9)</w:t>
      </w:r>
    </w:p>
    <w:p>
      <w:r>
        <w:t xml:space="preserve">(10) Wird die gemäß Unterabsatz 1 beantragte Genehmigung abgelehnt, so wird die Verwendung des mit dieser beantragten Genehmigung verbundenen Systems zur nachträglichen biometrischen Fernidentifizierung mit sofortiger Wirkung eingestellt und werden die personenbezogenen Daten, die im Zusammenhang mit der Verwendung des Hochrisiko-KI-Systems stehen, für die die Genehmigung beantragt wurde, gelöscht. In keinem Fall darf ein solches Hochrisiko-KI-System zur nachträglichen biometrischen Fernidentifizierung zu Strafverfolgungszwecken in nicht zielgerichteter Weise und ohne jeglichen Zusammenhang mit einer Straftat, einem Strafverfahren, einer tatsächlichen und bestehenden oder tatsächlichen und vorhersehbaren Gefahr einer Straftat oder der Suche nach einer bestimmten vermissten Person verwendet werden. Es muss sichergestellt werden, dass die Strafverfolgungsbehörden keine ausschließlich auf der Grundlage der Ausgabe solcher Systeme zur nachträglichen biometrischen Fernidentifizierung beruhende Entscheidung, aus der sich eine nachteilige Rechtsfolge für eine Person ergibt, treffen. Dieser Absatz gilt unbeschadet des Artikels 9 der Verordnung (EU) 2016/679 und des Artikels 10 der Richtlinie (EU) 2016/680 für die Verarbeitung biometrischer Daten. Unabhängig vom Zweck oder Betreiber wird jede Verwendung solcher Hochrisiko-KI-Systeme in der einschlägigen Polizeiakte dokumentiert und der zuständigen Marktüberwachungsbehörde und der nationalen Datenschutzbehörde auf Anfrage zur Verfügung gestellt, wovon die Offenlegung sensibler operativer Daten im Zusammenhang mit der Strafverfolgung ausgenommen ist. Dieser Unterabsatz berührt nicht die den Aufsichtsbehörden durch die Richtlinie (EU) 2016/680 übertragenen Befugnisse. Die Betreiber legen den zuständigen Marktüberwachungsbehörden und den nationalen Datenschutzbehörden Jahresberichte über ihre Verwendung von Systemen zur nachträglichen biometrischen Fernidentifizierung vor, wovon die Offenlegung sensibler operativer Daten im Zusammenhang mit der Strafverfolgung ausgenommen ist. Die Berichte können eine Zusammenfassung sein, damit sie mehr als einen Einsatz abdecken. Die Mitgliedstaaten können im Einklang mit dem Unionsrecht strengere Rechtsvorschriften für die Verwendung von Systemen zur nachträglichen biometrischen Fernidentifizierung erlassen.</w:t>
      </w:r>
    </w:p>
    <w:p>
      <w:r>
        <w:t xml:space="preserve">(11)</w:t>
      </w:r>
    </w:p>
    <w:p>
      <w:r>
        <w:t xml:space="preserve">(12)</w:t>
      </w:r>
    </w:p>
    <w:p>
      <w:r>
        <w:rPr>
          <w:color w:val="555555"/>
          <w:sz w:val="17"/>
        </w:rPr>
        <w:t xml:space="preserve">Zitiervorschlag: Art 26 KI-VO</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