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25 KI-VO — Verantwortlichkeiten entlang der KI-Wertschöpfungskette</w:t>
      </w:r>
    </w:p>
    <w:p>
      <w:r>
        <w:rPr>
          <w:color w:val="555555"/>
          <w:sz w:val="18"/>
        </w:rPr>
        <w:t xml:space="preserve">KI-VO</w:t>
      </w:r>
    </w:p>
    <w:p>
      <w:r>
        <w:rPr>
          <w:color w:val="555555"/>
          <w:sz w:val="18"/>
        </w:rPr>
        <w:t xml:space="preserve">Stand: 22.07.2026 (konsolidierte Textfassung, kein amtliches Inkrafttretensdatum)</w:t>
      </w:r>
    </w:p>
    <w:p>
      <w:r>
        <w:t xml:space="preserve">(1) In den folgenden Fällen gelten Händler, Einführer, Betreiber oder sonstige Dritte als Anbieter eines Hochrisiko-KI-Systems für die Zwecke dieser Verordnung und unterliegen den Anbieterpflichten gemäß Artikel 16:</w:t>
      </w:r>
    </w:p>
    <w:p>
      <w:r>
        <w:t xml:space="preserve">a) wenn sie ein bereits in Verkehr gebrachtes oder in Betrieb genommenes Hochrisiko-KI-System mit ihrem Namen oder ihrer Handelsmarke versehen, unbeschadet vertraglicher Vereinbarungen, die eine andere Aufteilung der Pflichten vorsehen;</w:t>
      </w:r>
    </w:p>
    <w:p>
      <w:r>
        <w:t xml:space="preserve">b) wenn sie eine wesentliche Veränderung eines Hochrisiko-KI-Systems, das bereits in Verkehr gebracht oder in Betrieb genommen wurde, so vornehmen, dass es weiterhin ein Hochrisiko-KI-System gemäß Artikel 6 bleibt;</w:t>
      </w:r>
    </w:p>
    <w:p>
      <w:r>
        <w:t xml:space="preserve">c) wenn sie die Zweckbestimmung eines KI-Systems, einschließlich eines KI-Systems mit allgemeinem Verwendungszweck, das nicht als hochriskant eingestuft wurde und bereits in Verkehr gebracht oder in Betrieb genommen wurde, so verändern, dass das betreffende KI-System zu einem Hochrisiko-KI-System im Sinne von Artikel 6 wird.</w:t>
      </w:r>
    </w:p>
    <w:p>
      <w:r>
        <w:t xml:space="preserve">(2)</w:t>
      </w:r>
    </w:p>
    <w:p>
      <w:r>
        <w:t xml:space="preserve">(3) Im Falle von Hochrisiko-KI-Systemen, bei denen es sich um Sicherheitsbauteile von Produkten handelt, die unter die in Anhang I Abschnitt A aufgeführten Harmonisierungsrechtsvorschriften der Union fallen, gilt der Produkthersteller als Anbieter des Hochrisiko-KI-Systems und unterliegt in den beiden nachfolgenden Fällen den Pflichten nach Artikel 16:</w:t>
      </w:r>
    </w:p>
    <w:p>
      <w:r>
        <w:t xml:space="preserve">a) Das Hochrisiko-KI-System wird zusammen mit dem Produkt unter dem Namen oder der Handelsmarke des Produktherstellers in Verkehr gebracht;</w:t>
      </w:r>
    </w:p>
    <w:p>
      <w:r>
        <w:t xml:space="preserve">b) das Hochrisiko-KI-System wird unter dem Namen oder der Handelsmarke des Produktherstellers in Betrieb genommen, nachdem das Produkt in Verkehr gebracht wurde.</w:t>
      </w:r>
    </w:p>
    <w:p>
      <w:r>
        <w:t xml:space="preserve">(4) Das Büro für Künstliche Intelligenz kann freiwillige Musterbedingungen für Verträge zwischen Anbietern von Hochrisiko-KI-Systemen und Dritten, die Instrumente, Dienste, Komponenten oder Verfahren bereitstellen, die für Hochrisiko-KI-Systeme verwendet oder in diese integriert werden, ausarbeiten und empfehlen. Bei der Ausarbeitung dieser freiwilligen Musterbedingungen berücksichtigt das Büro für Künstliche Intelligenz mögliche vertragliche Anforderungen, die in bestimmten Sektoren oder Geschäftsfällen gelten. Die freiwilligen Musterbedingungen werden veröffentlicht und sind kostenlos in einem leicht nutzbaren elektronischen Format verfügbar.</w:t>
      </w:r>
    </w:p>
    <w:p>
      <w:r>
        <w:t xml:space="preserve">(5)</w:t>
      </w:r>
    </w:p>
    <w:p>
      <w:r>
        <w:rPr>
          <w:color w:val="555555"/>
          <w:sz w:val="17"/>
        </w:rPr>
        <w:t xml:space="preserve">Zitiervorschlag: Art 25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