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24 KI-VO — Pflichten der Händler</w:t>
      </w:r>
    </w:p>
    <w:p>
      <w:r>
        <w:rPr>
          <w:color w:val="555555"/>
          <w:sz w:val="18"/>
        </w:rPr>
        <w:t xml:space="preserve">KI-VO</w:t>
      </w:r>
    </w:p>
    <w:p>
      <w:r>
        <w:rPr>
          <w:color w:val="555555"/>
          <w:sz w:val="18"/>
        </w:rPr>
        <w:t xml:space="preserve">Stand: 22.07.2026 (konsolidierte Textfassung, kein amtliches Inkrafttretensdatum)</w:t>
      </w:r>
    </w:p>
    <w:p>
      <w:r>
        <w:t xml:space="preserve">(1) Bevor Händler ein Hochrisiko-KI-System auf dem Markt bereitstellen, überprüfen sie, ob es mit der erforderlichen CE-Kennzeichnung versehen ist, ob ihm eine Kopie der in Artikel 47 genannten EU-Konformitätserklärung und Betriebsanleitungen beigefügt sind und ob der Anbieter und gegebenenfalls der Einführer dieses Systems ihre in Artikel 16 Buchstaben b und c sowie Artikel 23 Absatz 3 festgelegten jeweiligen Pflichten erfüllt haben.</w:t>
      </w:r>
    </w:p>
    <w:p>
      <w:r>
        <w:t xml:space="preserve">(2) Ist ein Händler der Auffassung oder hat er aufgrund von Informationen, die ihm zur Verfügung stehen, Grund zu der Annahme, dass ein Hochrisiko-KI-System nicht den Anforderungen in Abschnitt 2 entspricht, so stellt er das Hochrisiko-KI-System erst auf dem Markt bereit, nachdem die Konformität des Systems mit den Anforderungen hergestellt wurde. Birgt das Hochrisiko-IT-System zudem ein Risiko im Sinne des Artikels 79 Absatz 1, so informiert der Händler den Anbieter bzw. den Einführer des Systems darüber.</w:t>
      </w:r>
    </w:p>
    <w:p>
      <w:r>
        <w:t xml:space="preserve">(3) Solange sich ein Hochrisiko-KI-System in ihrer Verantwortung befindet, gewährleisten Händler, dass — soweit zutreffend — die Lagerungs- oder Transportbedingungen die Konformität des Systems mit den in Abschnitt 2 festgelegten Anforderungen nicht beeinträchtigen.</w:t>
      </w:r>
    </w:p>
    <w:p>
      <w:r>
        <w:t xml:space="preserve">(4) Ein Händler, der aufgrund von Informationen, die ihm zur Verfügung stehen, der Auffassung ist oder Grund zu der Annahme hat, dass ein von ihm auf dem Markt bereitgestelltes Hochrisiko-KI-System nicht den Anforderungen in Abschnitt 2 entspricht, ergreift die erforderlichen Korrekturmaßnahmen, um die Konformität dieses Systems mit diesen Anforderungen herzustellen, es zurückzunehmen oder zurückzurufen, oder er stellt sicher, dass der Anbieter, der Einführer oder gegebenenfalls jeder relevante Akteur diese Korrekturmaßnahmen ergreift. Birgt das Hochrisiko-KI-System ein Risiko im Sinne des Artikels 79 Absatz 1, so informiert der Händler unverzüglich den Anbieter bzw. den Einführer des Systems sowie die für das betroffene Hochrisiko-KI-System zuständigen Behörden und macht dabei ausführliche Angaben, insbesondere zur Nichtkonformität und zu bereits ergriffenen Korrekturmaßnahmen.</w:t>
      </w:r>
    </w:p>
    <w:p>
      <w:r>
        <w:t xml:space="preserve">(5) Auf begründete Anfrage einer betreffenden zuständigen Behörde übermitteln die Händler eines Hochrisiko-KI-Systems dieser Behörde sämtliche Informationen und Dokumentation in Bezug auf ihre Maßnahmen gemäß den Absätzen 1 bis 4, die erforderlich sind, um die Konformität dieses Systems mit den in Abschnitt 2 festgelegten Anforderungen nachzuweisen.</w:t>
      </w:r>
    </w:p>
    <w:p>
      <w:r>
        <w:t xml:space="preserve">(6) Die Händler arbeiten mit den betreffenden zuständigen Behörden bei allen Maßnahmen zusammen, die diese Behörden im Zusammenhang mit einem von den Händlern auf dem Markt bereitgestellten Hochrisiko-KI-System ergreifen, um insbesondere das von diesem System ausgehende Risiko zu verringern oder abzumildern.</w:t>
      </w:r>
    </w:p>
    <w:p>
      <w:r>
        <w:rPr>
          <w:color w:val="555555"/>
          <w:sz w:val="17"/>
        </w:rPr>
        <w:t xml:space="preserve">Zitiervorschlag: Art 24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