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KI-VO — Pflichten der Einführer</w:t>
      </w:r>
    </w:p>
    <w:p>
      <w:r>
        <w:rPr>
          <w:color w:val="555555"/>
          <w:sz w:val="18"/>
        </w:rPr>
        <w:t xml:space="preserve">KI-VO</w:t>
      </w:r>
    </w:p>
    <w:p>
      <w:r>
        <w:rPr>
          <w:color w:val="555555"/>
          <w:sz w:val="18"/>
        </w:rPr>
        <w:t xml:space="preserve">Stand: 22.07.2026 (konsolidierte Textfassung, kein amtliches Inkrafttretensdatum)</w:t>
      </w:r>
    </w:p>
    <w:p>
      <w:r>
        <w:t xml:space="preserve">(1) Bevor sie ein Hochrisiko-KI-System in Verkehr bringen, stellen die Einführer sicher, dass das System dieser Verordnung entspricht, indem sie überprüfen, ob</w:t>
      </w:r>
    </w:p>
    <w:p>
      <w:r>
        <w:t xml:space="preserve">a) der Anbieter des Hochrisiko-KI-Systems das entsprechende Konformitätsbewertungsverfahren gemäß Artikel 43 durchgeführt hat;</w:t>
      </w:r>
    </w:p>
    <w:p>
      <w:r>
        <w:t xml:space="preserve">b) der Anbieter die technische Dokumentation gemäß Artikel 11 und Anhang IV erstellt hat;</w:t>
      </w:r>
    </w:p>
    <w:p>
      <w:r>
        <w:t xml:space="preserve">c) das System mit der erforderlichen CE-Kennzeichnung versehen ist und ihm die in Artikel 47 genannte EU-Konformitätserklärung und Betriebsanleitungen beigefügt sind;</w:t>
      </w:r>
    </w:p>
    <w:p>
      <w:r>
        <w:t xml:space="preserve">d) der Anbieter einen Bevollmächtigten gemäß Artikel 22 Absatz 1 benannt hat.</w:t>
      </w:r>
    </w:p>
    <w:p>
      <w:r>
        <w:t xml:space="preserve">(2) Hat ein Einführer hinreichenden Grund zu der Annahme, dass ein Hochrisiko-KI-System nicht dieser Verordnung entspricht oder gefälscht ist oder diesem eine gefälschte Dokumentation beigefügt ist, so bringt er das System erst in Verkehr, nachdem dessen Konformität hergestellt wurde. Birgt das Hochrisiko-KI-System ein Risiko im Sinne des Artikels 79 Absatz 1, so informiert der Einführer den Anbieter des Systems, die Bevollmächtigten und die Marktüberwachungsbehörden darüber.</w:t>
      </w:r>
    </w:p>
    <w:p>
      <w:r>
        <w:t xml:space="preserve">(3) Die Einführer geben ihren Namen, ihren eingetragenen Handelsnamen oder ihre eingetragene Handelsmarke und die Anschrift, unter der sie in Bezug auf das Hochrisiko-KI-System kontaktiert werden können, auf der Verpackung oder gegebenenfalls in der beigefügten Dokumentation an.</w:t>
      </w:r>
    </w:p>
    <w:p>
      <w:r>
        <w:t xml:space="preserve">(4) Solange sich ein Hochrisiko-KI-System in ihrer Verantwortung befindet, gewährleisten Einführer, dass — soweit zutreffend — die Lagerungs- oder Transportbedingungen seine Konformität mit den in Abschnitt 2 festgelegten Anforderungen nicht beeinträchtigen.</w:t>
      </w:r>
    </w:p>
    <w:p>
      <w:r>
        <w:t xml:space="preserve">(5) Die Einführer halten für einen Zeitraum von zehn Jahren ab dem Inverkehrbringen oder der Inbetriebnahme des Hochrisiko-KI-Systems ein Exemplar der von der notifizierten Stelle ausgestellten Bescheinigung sowie gegebenenfalls die Betriebsanleitungen und die in Artikel 47 genannte EU-Konformitätserklärung bereit.</w:t>
      </w:r>
    </w:p>
    <w:p>
      <w:r>
        <w:t xml:space="preserve">(6) Die Einführer übermitteln den betreffenden nationalen Behörden auf deren begründete Anfrage sämtliche — auch die in Absatz 5 genannten — Informationen und Dokumentation, die erforderlich sind, um die Konformität des Hochrisiko-KI-Systems mit den in Abschnitt 2 festgelegten Anforderungen nachzuweisen, und zwar in einer Sprache, die für jene leicht verständlich ist. Zu diesem Zweck stellen sie auch sicher, dass diesen Behörden die technische Dokumentation zur Verfügung gestellt werden kann.</w:t>
      </w:r>
    </w:p>
    <w:p>
      <w:r>
        <w:t xml:space="preserve">(7) Die Einführer arbeiten mit den betreffenden nationalen Behörden bei allen Maßnahmen zusammen, die diese Behörden im Zusammenhang mit einem von den Einführern in Verkehr gebrachten Hochrisiko-KI-System ergreifen, um insbesondere die von diesem System ausgehenden Risiken zu verringern und abzumildern.</w:t>
      </w:r>
    </w:p>
    <w:p>
      <w:r>
        <w:rPr>
          <w:color w:val="555555"/>
          <w:sz w:val="17"/>
        </w:rPr>
        <w:t xml:space="preserve">Zitiervorschlag: Art 23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