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18 KI-VO — Aufbewahrung der Dokumentation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Der Anbieter hält für einen Zeitraum von zehn Jahren ab dem Inverkehrbringen oder der Inbetriebnahme des Hochrisiko-KI-Systems folgende Unterlagen für die zuständigen nationalen Behörden bereit:</w:t>
      </w:r>
    </w:p>
    <w:p>
      <w:r>
        <w:t xml:space="preserve">a) die in Artikel 11 genannte technische Dokumentation;</w:t>
      </w:r>
    </w:p>
    <w:p>
      <w:r>
        <w:t xml:space="preserve">b) die Dokumentation zu dem in Artikel 17 genannten Qualitätsmanagementsystem;</w:t>
      </w:r>
    </w:p>
    <w:p>
      <w:r>
        <w:t xml:space="preserve">c) die Dokumentation über etwaige von notifizierten Stellen genehmigte Änderungen;</w:t>
      </w:r>
    </w:p>
    <w:p>
      <w:r>
        <w:t xml:space="preserve">d) gegebenenfalls die von den notifizierten Stellen ausgestellten Entscheidungen und sonstigen Dokumente;</w:t>
      </w:r>
    </w:p>
    <w:p>
      <w:r>
        <w:t xml:space="preserve">e) die in Artikel 47 genannte EU-Konformitätserklärung.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18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