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16 KI-VO — Pflichten der Anbieter von Hochrisiko-KI-Systemen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Anbieter von Hochrisiko-KI-Systemen müssen</w:t>
      </w:r>
    </w:p>
    <w:p>
      <w:r>
        <w:t xml:space="preserve">a) sicherstellen, dass ihre Hochrisiko-KI-Systeme die in Abschnitt 2 festgelegten Anforderungen erfüllen;</w:t>
      </w:r>
    </w:p>
    <w:p>
      <w:r>
        <w:t xml:space="preserve">b) auf dem Hochrisiko-KI-System oder, falls dies nicht möglich ist, auf seiner Verpackung oder in der beigefügten Dokumentation ihren Namen, ihren eingetragenen Handelsnamen bzw. ihre eingetragene Handelsmarke und ihre Kontaktanschrift angeben;</w:t>
      </w:r>
    </w:p>
    <w:p>
      <w:r>
        <w:t xml:space="preserve">c) über ein Qualitätsmanagementsystem verfügen, das Artikel 17 entspricht;</w:t>
      </w:r>
    </w:p>
    <w:p>
      <w:r>
        <w:t xml:space="preserve">d) die in Artikel 18 genannte Dokumentation aufbewahren;</w:t>
      </w:r>
    </w:p>
    <w:p>
      <w:r>
        <w:t xml:space="preserve">e) die von ihren Hochrisiko-KI-Systemen automatisch erzeugten Protokolle gemäß Artikel 19 aufbewahren, wenn diese ihrer Kontrolle unterliegen;</w:t>
      </w:r>
    </w:p>
    <w:p>
      <w:r>
        <w:t xml:space="preserve">f) sicherstellen, dass das Hochrisiko-KI-System dem betreffenden Konformitätsbewertungsverfahren gemäß Artikel 43 unterzogen wird, bevor es in Verkehr gebracht oder in Betrieb genommen wird;</w:t>
      </w:r>
    </w:p>
    <w:p>
      <w:r>
        <w:t xml:space="preserve">g) eine EU-Konformitätserklärung gemäß Artikel 47 ausstellen;</w:t>
      </w:r>
    </w:p>
    <w:p>
      <w:r>
        <w:t xml:space="preserve">h) die CE-Kennzeichnung an das Hochrisiko-KI-System oder, falls dies nicht möglich ist, auf seiner Verpackung oder in der beigefügten Dokumentation anbringen, um Konformität mit dieser Verordnung gemäß Artikel 48 anzuzeigen;</w:t>
      </w:r>
    </w:p>
    <w:p>
      <w:r>
        <w:t xml:space="preserve">i) den in Artikel 49 Absatz 1 genannten Registrierungspflichten nachkommen;</w:t>
      </w:r>
    </w:p>
    <w:p>
      <w:r>
        <w:t xml:space="preserve">j) die erforderlichen Korrekturmaßnahmen ergreifen und die gemäß Artikel 20 erforderlichen Informationen bereitstellen;</w:t>
      </w:r>
    </w:p>
    <w:p>
      <w:r>
        <w:t xml:space="preserve">k) auf begründete Anfrage einer zuständigen nationalen Behörde nachweisen, dass das Hochrisiko-KI-System die Anforderungen in Abschnitt 2 erfüllt;</w:t>
      </w:r>
    </w:p>
    <w:p>
      <w:r>
        <w:t xml:space="preserve">l) sicherstellen, dass das Hochrisiko-KI-System die Barrierefreiheitsanforderungen gemäß den Richtlinien (EU) 2016/2102 und (EU) 2019/882 erfüllt.</w:t>
      </w:r>
    </w:p>
    <w:p>
      <w:r>
        <w:rPr>
          <w:color w:val="555555"/>
          <w:sz w:val="17"/>
        </w:rPr>
        <w:t xml:space="preserve">Zitiervorschlag: Art 16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