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15 KI-VO — Genauigkeit, Robustheit und Cybersicherheit</w:t>
      </w:r>
    </w:p>
    <w:p>
      <w:r>
        <w:rPr>
          <w:color w:val="555555"/>
          <w:sz w:val="18"/>
        </w:rPr>
        <w:t xml:space="preserve">KI-VO</w:t>
      </w:r>
    </w:p>
    <w:p>
      <w:r>
        <w:rPr>
          <w:color w:val="555555"/>
          <w:sz w:val="18"/>
        </w:rPr>
        <w:t xml:space="preserve">Stand: 22.07.2026 (konsolidierte Textfassung, kein amtliches Inkrafttretensdatum)</w:t>
      </w:r>
    </w:p>
    <w:p>
      <w:r>
        <w:t xml:space="preserve">(1)</w:t>
      </w:r>
    </w:p>
    <w:p>
      <w:r>
        <w:t xml:space="preserve">(2)</w:t>
      </w:r>
    </w:p>
    <w:p>
      <w:r>
        <w:t xml:space="preserve">(3)</w:t>
      </w:r>
    </w:p>
    <w:p>
      <w:r>
        <w:t xml:space="preserve">(4) Die Robustheit von Hochrisiko-KI-Systemen kann durch technische Redundanz erreicht werden, was auch Sicherungs- oder Störungssicherheitspläne umfassen kann. Hochrisiko-KI-Systeme, die nach dem Inverkehrbringen oder der Inbetriebnahme weiterhin dazulernen, sind so zu entwickeln, dass das Risiko möglicherweise verzerrter Ausgaben, die künftige Vorgänge beeinflussen („Rückkopplungsschleifen“), beseitigt oder so gering wie möglich gehalten wird und sichergestellt wird, dass auf solche Rückkopplungsschleifen angemessen mit geeigneten Risikominderungsmaßnahmen eingegangen wird.</w:t>
      </w:r>
    </w:p>
    <w:p>
      <w:r>
        <w:t xml:space="preserve">(5) Die technischen Lösungen zur Gewährleistung der Cybersicherheit von Hochrisiko-KI-Systemen müssen den jeweiligen Umständen und Risiken angemessen sein. Die technischen Lösungen für den Umgang mit KI-spezifischen Schwachstellen umfassen gegebenenfalls Maßnahmen, um Angriffe, mit denen versucht wird, eine Manipulation des Trainingsdatensatzes („data poisoning“) oder vortrainierter Komponenten, die beim Training verwendet werden („model poisoning“), vorzunehmen, Eingabedaten, die das KI-Modell zu Fehlern verleiten sollen („adversarial examples“ oder „model evasions“), Angriffe auf vertrauliche Daten oder Modellmängel zu verhüten, zu erkennen, darauf zu reagieren, sie zu beseitigen und zu kontrollieren.</w:t>
      </w:r>
    </w:p>
    <w:p>
      <w:r>
        <w:rPr>
          <w:color w:val="555555"/>
          <w:sz w:val="17"/>
        </w:rPr>
        <w:t xml:space="preserve">Zitiervorschlag: Art 15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