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 KI-VO — Aufzeichnungspflichten</w:t>
      </w:r>
    </w:p>
    <w:p>
      <w:r>
        <w:rPr>
          <w:color w:val="555555"/>
          <w:sz w:val="18"/>
        </w:rPr>
        <w:t xml:space="preserve">KI-VO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Die Technik der Hochrisiko-KI-Systeme muss die automatische Aufzeichnung von Ereignissen (im Folgenden „Protokollierung“) während des Lebenszyklus des Systems ermöglichen.</w:t>
      </w:r>
    </w:p>
    <w:p>
      <w:r>
        <w:t xml:space="preserve">(2) Zur Gewährleistung, dass das Funktionieren des Hochrisiko-KI-Systems in einem der Zweckbestimmung des Systems angemessenen Maße rückverfolgbar ist, ermöglichen die Protokollierungsfunktionen die Aufzeichnung von Ereignissen, die für Folgendes relevant sind:</w:t>
      </w:r>
    </w:p>
    <w:p>
      <w:r>
        <w:t xml:space="preserve">a) die Ermittlung von Situationen, die dazu führen können, dass das Hochrisiko-KI-System ein Risiko im Sinne des Artikels 79 Absatz 1 birgt oder dass es zu einer wesentlichen Änderung kommt,</w:t>
      </w:r>
    </w:p>
    <w:p>
      <w:r>
        <w:t xml:space="preserve">b) die Erleichterung der Beobachtung nach dem Inverkehrbringen gemäß Artikel 72 und</w:t>
      </w:r>
    </w:p>
    <w:p>
      <w:r>
        <w:t xml:space="preserve">c) die Überwachung des Betriebs der Hochrisiko-KI-Systeme gemäß Artikel 26 Absatz 5.</w:t>
      </w:r>
    </w:p>
    <w:p>
      <w:r>
        <w:t xml:space="preserve">(3) Die Protokollierungsfunktionen der in Anhang III Nummer 1 Buchstabe a genannten Hochrisiko-KI-Systeme müssen zumindest Folgendes umfassen:</w:t>
      </w:r>
    </w:p>
    <w:p>
      <w:r>
        <w:t xml:space="preserve">a) Aufzeichnung jedes Zeitraums der Verwendung des Systems (Datum und Uhrzeit des Beginns und des Endes jeder Verwendung);</w:t>
      </w:r>
    </w:p>
    <w:p>
      <w:r>
        <w:t xml:space="preserve">b) die Referenzdatenbank, mit der das System die Eingabedaten abgleicht;</w:t>
      </w:r>
    </w:p>
    <w:p>
      <w:r>
        <w:t xml:space="preserve">c) die Eingabedaten, mit denen die Abfrage zu einer Übereinstimmung geführt hat;</w:t>
      </w:r>
    </w:p>
    <w:p>
      <w:r>
        <w:t xml:space="preserve">d) die Identität der gemäß Artikel 14 Absatz 5 an der Überprüfung der Ergebnisse beteiligten natürlichen Personen.</w:t>
      </w:r>
    </w:p>
    <w:p>
      <w:r>
        <w:rPr>
          <w:color w:val="555555"/>
          <w:sz w:val="17"/>
        </w:rPr>
        <w:t xml:space="preserve">Zitiervorschlag: Art 12 KI-VO</w:t>
      </w:r>
    </w:p>
    <w:p>
      <w:r>
        <w:rPr>
          <w:color w:val="555555"/>
          <w:sz w:val="17"/>
        </w:rPr>
        <w:t xml:space="preserve">Quelle: EUR-Lex, abgerufen 25.08.2026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https://recht.nulegal.eu/gesetze/KI-VO/12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