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113 KI-VO — Inkrafttreten und Geltungsbeginn</w:t>
      </w:r>
    </w:p>
    <w:p>
      <w:r>
        <w:rPr>
          <w:color w:val="555555"/>
          <w:sz w:val="18"/>
        </w:rPr>
        <w:t xml:space="preserve">KI-VO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Diese Verordnung tritt am zwanzigsten Tag nach ihrer Veröffentlichung im Amtsblatt der Europäischen Union in Kraft. Sie gilt ab dem 2. August 2026. Jedoch:</w:t>
      </w:r>
    </w:p>
    <w:p>
      <w:r>
        <w:t xml:space="preserve">a) Die Kapitel I und II gelten ab dem 2. Februar 2025;</w:t>
      </w:r>
    </w:p>
    <w:p>
      <w:r>
        <w:t xml:space="preserve">b) Kapitel III Abschnitt 4, Kapitel V, Kapitel VII und Kapitel XII sowie Artikel 78 gelten ab dem 2. August 2025, mit Ausnahme des Artikels 101;</w:t>
      </w:r>
    </w:p>
    <w:p>
      <w:r>
        <w:t xml:space="preserve">c) Artikel 6 Absatz 1 und die entsprechenden Pflichten gemäß dieser Verordnung gelten ab dem 2. August 2027.</w:t>
      </w:r>
    </w:p>
    <w:p>
      <w:r>
        <w:rPr>
          <w:color w:val="555555"/>
          <w:sz w:val="17"/>
        </w:rPr>
        <w:t xml:space="preserve">Zitiervorschlag: Art 113 KI-VO</w:t>
      </w:r>
    </w:p>
    <w:p>
      <w:r>
        <w:rPr>
          <w:color w:val="555555"/>
          <w:sz w:val="17"/>
        </w:rPr>
        <w:t xml:space="preserve">Quelle: EUR-Lex, abgerufen 21.07.2026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https://recht.nulegal.eu/gesetze/KI-VO/113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