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 KI-VO — Bereits in Verkehr gebrachte oder in Betrieb genommene KI-Systeme und bereits in Verkehr gebrachte KI-Modelle mit allgemeinem Verwendungszweck</w:t>
      </w:r>
    </w:p>
    <w:p>
      <w:r>
        <w:rPr>
          <w:color w:val="555555"/>
          <w:sz w:val="18"/>
        </w:rPr>
        <w:t xml:space="preserve">KI-VO</w:t>
      </w:r>
    </w:p>
    <w:p>
      <w:r>
        <w:rPr>
          <w:color w:val="555555"/>
          <w:sz w:val="18"/>
        </w:rPr>
        <w:t xml:space="preserve">Stand: 22.07.2026 (konsolidierte Textfassung, kein amtliches Inkrafttretensdatum)</w:t>
      </w:r>
    </w:p>
    <w:p>
      <w:r>
        <w:t xml:space="preserve">(1) Unbeschadet der Anwendung des Artikels 5 gemäß Artikel 113 Absatz 3 Buchstabe a werden KI-Systeme, bei denen es sich um Komponenten von IT-Großsystemen handelt, die mit den in Anhang X aufgeführten Rechtsakten eingerichtet wurden und vor dem 2. August 2027 in Verkehr gebracht oder in Betrieb genommen wurden, bis zum 31. Dezember 2030 mit dieser Verordnung in Einklang gebracht.</w:t>
      </w:r>
    </w:p>
    <w:p>
      <w:r>
        <w:t xml:space="preserve">Die in dieser Verordnung festgelegten Anforderungen werden bei der Bewertung jedes IT-Großsystems, das mit den in Anhang X aufgeführten Rechtsakten eingerichtet wurde, berücksichtigt, wobei die Bewertung entsprechend den Vorgaben der jeweiligen Rechtsakte und bei Ersetzung oder Änderung dieser Rechtsakte erfolgt.</w:t>
      </w:r>
    </w:p>
    <w:p>
      <w:r>
        <w:t xml:space="preserve">(2) Unbeschadet der Anwendung des Artikels 5 gemäß Artikel 113 Absatz 3 Buchstabe a gilt diese Verordnung für Akteure in Bezug auf Hochrisiko-KI-Systeme — mit Ausnahme der in Absatz 1 des vorliegenden Artikels genannten Systeme —, die vor dem 2. August 2026 in Verkehr gebracht oder in Betrieb genommen wurden, nur dann, wenn diese Systeme danach in ihrer Konzeption erheblich verändert wurden. In jedem Fall treffen die Anbieter und Betreiber von Hochrisiko-KI-Systemen, die bestimmungsgemäß von Behörden verwendet werden sollen, die erforderlichen Maßnahmen für die Erfüllung der Anforderungen und Pflichten dieser Verordnung bis zum 2. August 2030.</w:t>
      </w:r>
    </w:p>
    <w:p>
      <w:r>
        <w:t xml:space="preserve">(3) Anbieter von KI-Modellen mit allgemeinem Verwendungszweck, die vor dem 2. August 2025 in Verkehr gebracht wurden, treffen die erforderlichen Maßnahmen für die Erfüllung der in dieser Verordnung festgelegten Pflichten bis zum 2. August 2027.</w:t>
      </w:r>
    </w:p>
    <w:p>
      <w:r>
        <w:rPr>
          <w:color w:val="555555"/>
          <w:sz w:val="17"/>
        </w:rPr>
        <w:t xml:space="preserve">Zitiervorschlag: Art 111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https://recht.nulegal.eu/gesetze/KI-VO/111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