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110 KI-VO — Änderung der Richtlinie (EU) 2020/1828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Anhang I der Richtlinie (EU) 2020/1828 des Europäischen Parlaments und des Rates ( 2 ) wird die folgende Nummer angefügt:</w:t>
      </w:r>
    </w:p>
    <w:p>
      <w:r>
        <w:t xml:space="preserve">„68. Verordnung (EU) 2024/1689 des Europäischen Parlaments und des Rates vom 13. Juni 2024 zur Festlegung harmonisierter Vorschriften für künstliche Intelligenz und zur Änderung der Verordnungen (EG) Nr. 300/2008, (EU) Nr. 167/2013, (EU) Nr. 168/2013, (EU) 2018/858, (EU) 2018/1139 und (EU) 2019/2144 sowie der Richtlinien 2014/90/EU, (EU) 2016/797 und (EU) 2020/1828 (Verordnung über künstliche Intelligenz) (ABl. L, 2024/1689, 12.7.2024, ELI: http://data.europa.eu/eli/reg/2024/1689/oj).“</w:t>
      </w:r>
    </w:p>
    <w:p>
      <w:r>
        <w:rPr>
          <w:color w:val="555555"/>
          <w:sz w:val="17"/>
        </w:rPr>
        <w:t xml:space="preserve">Zitiervorschlag: Art 110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