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KI-VO — Technische Dokumentation</w:t>
      </w:r>
    </w:p>
    <w:p>
      <w:r>
        <w:rPr>
          <w:color w:val="555555"/>
          <w:sz w:val="18"/>
        </w:rPr>
        <w:t xml:space="preserve">KI-VO</w:t>
      </w:r>
    </w:p>
    <w:p>
      <w:r>
        <w:rPr>
          <w:color w:val="555555"/>
          <w:sz w:val="18"/>
        </w:rPr>
        <w:t xml:space="preserve">Stand: 22.07.2026 (konsolidierte Textfassung, kein amtliches Inkrafttretensdatum)</w:t>
      </w:r>
    </w:p>
    <w:p>
      <w:r>
        <w:t xml:space="preserve">(1) Die technische Dokumentation wird so erstellt, dass aus ihr der Nachweis hervorgeht, wie das Hochrisiko-KI-System die Anforderungen dieses Abschnitts erfüllt, und dass den zuständigen nationalen Behörden und den notifizierten Stellen die Informationen in klarer und verständlicher Form zur Verfügung stehen, die erforderlich sind, um zu beurteilen, ob das KI-System diese Anforderungen erfüllt. Sie enthält zumindest die in Anhang IV genannten Angaben. KMU, einschließlich Start-up-Unternehmen, können die in Anhang IV aufgeführten Elemente der technischen Dokumentation in vereinfachter Weise bereitstellen. Zu diesem Zweck erstellt die Kommission ein vereinfachtes Formular für die technische Dokumentation, das auf die Bedürfnisse von kleinen Unternehmen und Kleinstunternehmen zugeschnitten ist. Entscheidet sich ein KMU, einschließlich Start-up-Unternehmen, für eine vereinfachte Bereitstellung der in Anhang IV vorgeschriebenen Angaben, so verwendet es das in diesem Absatz genannte Formular. Die notifizierten Stellen akzeptieren das Formular für die Zwecke der Konformitätsbewertung.</w:t>
      </w:r>
    </w:p>
    <w:p>
      <w:r>
        <w:t xml:space="preserve">(2)</w:t>
      </w:r>
    </w:p>
    <w:p>
      <w:r>
        <w:t xml:space="preserve">(3)</w:t>
      </w:r>
    </w:p>
    <w:p>
      <w:r>
        <w:rPr>
          <w:color w:val="555555"/>
          <w:sz w:val="17"/>
        </w:rPr>
        <w:t xml:space="preserve">Zitiervorschlag: Art 11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