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107 KI-VO — Änderung der Verordnung (EU) 2018/858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Artikel 5 der Verordnung (EU) 2018/858 wird folgender Absatz angefügt:</w:t>
      </w:r>
    </w:p>
    <w:p>
      <w:r>
        <w:t xml:space="preserve">„(4) Beim Erlass delegierter Rechtsakte nach Absatz 3, die sich auf Systeme der künstlichen Intelligenz beziehen, bei denen es sich um Sicherheitsbauteile im Sinne der Verordnung (EU) 2024/1689 des Europäischen Parlaments und des Rates ( *6 ) handelt, werden die in Kapitel III Abschnitt 2 jener Verordnung festgelegten Anforderungen berücksichtigt.</w:t>
      </w:r>
    </w:p>
    <w:p>
      <w:r>
        <w:rPr>
          <w:color w:val="555555"/>
          <w:sz w:val="17"/>
        </w:rPr>
        <w:t xml:space="preserve">Zitiervorschlag: Art 107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