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101 KI-VO — Geldbußen für Anbieter von KI-Modellen mit allgemeinem Verwendungszweck</w:t>
      </w:r>
    </w:p>
    <w:p>
      <w:r>
        <w:rPr>
          <w:color w:val="555555"/>
          <w:sz w:val="18"/>
        </w:rPr>
        <w:t xml:space="preserve">KI-VO</w:t>
      </w:r>
    </w:p>
    <w:p>
      <w:r>
        <w:rPr>
          <w:color w:val="555555"/>
          <w:sz w:val="18"/>
        </w:rPr>
        <w:t xml:space="preserve">Stand: 22.07.2026 (konsolidierte Textfassung, kein amtliches Inkrafttretensdatum)</w:t>
      </w:r>
    </w:p>
    <w:p>
      <w:r>
        <w:t xml:space="preserve">(1) Die Kommission kann gegen Anbieter von KI-Modellen mit allgemeinem Verwendungszweck Geldbußen von bis zu 3 % ihres gesamten weltweiten Jahresumsatzes im vorangegangenen Geschäftsjahr oder 15 000 000 EUR verhängen, je nachdem, welcher Betrag höher ist, wenn sie feststellt, dass der Anbieter vorsätzlich oder fahrlässig</w:t>
      </w:r>
    </w:p>
    <w:p>
      <w:r>
        <w:t xml:space="preserve">a) gegen die einschlägigen Bestimmungen dieser Verordnung verstoßen hat;</w:t>
      </w:r>
    </w:p>
    <w:p>
      <w:r>
        <w:t xml:space="preserve">b) der Anforderung eines Dokuments oder von Informationen gemäß Artikel 91 nicht nachgekommen ist oder falsche, unvollständige oder irreführende Informationen bereitgestellt hat;</w:t>
      </w:r>
    </w:p>
    <w:p>
      <w:r>
        <w:t xml:space="preserve">c) einer gemäß Artikel 93 geforderten Maßnahme nicht nachgekommen ist;</w:t>
      </w:r>
    </w:p>
    <w:p>
      <w:r>
        <w:t xml:space="preserve">d) der Kommission keinen Zugang zu dem KI-Modell mit allgemeinem Verwendungszweck oder dem KI-Modell mit allgemeinem Verwendungszweck mit systemischem Risiko gewährt hat, um eine Bewertung gemäß Artikel 92 durchzuführen.</w:t>
      </w:r>
    </w:p>
    <w:p>
      <w:r>
        <w:t xml:space="preserve">Bei der Festsetzung der Höhe der Geldbuße oder des Zwangsgelds wird der Art, der Schwere und der Dauer des Verstoßes sowie den Grundsätzen der Verhältnismäßigkeit und der Angemessenheit gebührend Rechnung getragen. Die Kommission berücksichtigt außerdem Verpflichtungen, die gemäß Artikel 93 Absatz 3 oder in den einschlägigen Praxisleitfäden nach Artikel 56 gemacht wurden.</w:t>
      </w:r>
    </w:p>
    <w:p>
      <w:r>
        <w:t xml:space="preserve">(2) Vor der Annahme einer Entscheidung nach Absatz 1 teilt die Kommission dem Anbieter des KI-Modells mit allgemeinem Verwendungszweck ihre vorläufige Beurteilung mit und gibt ihm Gelegenheit, Stellung zu nehmen.</w:t>
      </w:r>
    </w:p>
    <w:p>
      <w:r>
        <w:t xml:space="preserve">(3) Die gemäß diesem Artikel verhängten Geldbußen müssen wirksam, verhältnismäßig und abschreckend sein.</w:t>
      </w:r>
    </w:p>
    <w:p>
      <w:r>
        <w:t xml:space="preserve">(4) Informationen über gemäß diesem Artikel verhängte Geldbußen werden gegebenenfalls dem KI-Gremium mitgeteilt.</w:t>
      </w:r>
    </w:p>
    <w:p>
      <w:r>
        <w:t xml:space="preserve">(5) Der Gerichtshof der Europäischen Union hat die unbeschränkte Befugnis zur Überprüfung der Entscheidungen der Kommission über die Festsetzung einer Geldbuße gemäß diesem Artikel. Er kann die verhängte Geldbuße aufheben, herabsetzen oder erhöhen.</w:t>
      </w:r>
    </w:p>
    <w:p>
      <w:r>
        <w:t xml:space="preserve">(6) Die Kommission erlässt Durchführungsrechtsakte mit detaillierten Regelungen und Verfahrensgarantien für die Verfahren im Hinblick auf den möglichen Erlass von Beschlüssen gemäß Absatz 1 dieses Artikels. Diese Durchführungsrechtsakte werden gemäß dem in Artikel 98 Absatz 2 genannten Prüfverfahren erlassen.</w:t>
      </w:r>
    </w:p>
    <w:p>
      <w:r>
        <w:rPr>
          <w:color w:val="555555"/>
          <w:sz w:val="17"/>
        </w:rPr>
        <w:t xml:space="preserve">Zitiervorschlag: Art 101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https://recht.nulegal.eu/gesetze/KI-VO/101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