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KI-MIG — Zentrale Anlaufstelle</w:t>
      </w:r>
    </w:p>
    <w:p>
      <w:r>
        <w:rPr>
          <w:color w:val="555555"/>
          <w:sz w:val="18"/>
        </w:rPr>
        <w:t xml:space="preserve">KI-Marktüberwachungs-und-Innovationsförderungs-Gesetz</w:t>
      </w:r>
    </w:p>
    <w:p>
      <w:r>
        <w:rPr>
          <w:color w:val="555555"/>
          <w:sz w:val="18"/>
        </w:rPr>
        <w:t xml:space="preserve">Stand: 30.07.2026 (konsolidierte Textfassung, kein amtliches Inkrafttretensdatum)</w:t>
      </w:r>
    </w:p>
    <w:p>
      <w:r>
        <w:t xml:space="preserve">(1) Zentrale Anlaufstelle im Sinne des Artikels 70 Absatz 2 Satz 3 der Verordnung (EU) 2024/1689 ist die Bundesnetzagentur.</w:t>
      </w:r>
    </w:p>
    <w:p>
      <w:r>
        <w:t xml:space="preserve">(2) Die Marktüberwachungsbehörden und die notifizierenden Behörden stellen der zentralen Anlaufstelle Informationen über ihre Aufgaben und ihre elektronische Kontaktadresse sowie die Kontaktdaten einer Ansprechperson und einer diese vertretende Person zur Verfügung. Die Marktüberwachungsbehörden und die notifizierenden Behörden informieren die zentrale Anlaufstelle unverzüglich über Änderungen zu diesen Informationen.</w:t>
      </w:r>
    </w:p>
    <w:p>
      <w:r>
        <w:t xml:space="preserve">(3) Die zentrale Anlaufstelle gibt die elektronischen Kontaktadressen nach Absatz 2 sowie ihre eigene elektronische Kontaktadresse öffentlich bekannt. Die zentrale Anlaufstelle teilt der Europäischen Kommission die Namen und die Aufgaben der Marktüberwachungsbehörden und der notifizierenden Behörden die in Satz 1 genannten elektronischen Kontaktadressen sowie alle späteren Änderungen dieser Kontaktadressen mit. Die zentrale Anlaufstelle veröffentlicht diese Informationen auf der Internetseite der Bundesnetzagentur.</w:t>
      </w:r>
    </w:p>
    <w:p>
      <w:r>
        <w:t xml:space="preserve">(4) Die zentrale Anlaufstelle nimmt Eingaben des nach Artikel 64 der Verordnung (EU) 2024/1689 eingerichteten Büros für Künstliche Intelligenz, der Öffentlichkeit und anderer Ansprechpartner auf Ebene der Mitgliedstaaten der Europäischen Union und der Europäischen Union selbst entgegen und leitet diese an die zuständigen nationalen Stellen weiter.</w:t>
      </w:r>
    </w:p>
    <w:p>
      <w:r>
        <w:t xml:space="preserve">(5) Soweit in diesem Gesetz nichts anderes bestimmt ist, erfüllen die nach den §§ 2 und 3 zuständigen Behörden die aus der Verordnung (EU) 2024/1689 resultierenden Berichtspflichten über die zentrale Anlaufstelle, indem sie dieser die zur Erfüllung der jeweiligen Berichtspflicht jeweils erforderlichen Dokumente in elektronischer Form zur Verfügung stellen. Die zentrale Anlaufstelle stellt den zuständigen Behörden dafür Formulare in elektronischer Form zur Verfügung, die zu verwenden sind. Satz 1 gilt nicht für die Berichtspflicht gemäß Artikel 70 Absatz 6 der Verordnung (EU) 2024/1689, für deren Erfüllung das Bundesministerium für Digitales und Staatsmodernisierung zuständig ist. Die Bundesanstalt für Finanzdienstleistungsaufsicht kann ihre Berichtspflichten nach der Verordnung (EU) 2024/1689 abweichend von Satz 1 direkt gegenüber den anderen Mitgliedstaaten und den Institutionen der Europäischen Union erfüllen, soweit rechtliche Gründe einer Erfüllung durch die zentrale Anlaufstelle entgegenstehen.</w:t>
      </w:r>
    </w:p>
    <w:p>
      <w:r>
        <w:rPr>
          <w:color w:val="555555"/>
          <w:sz w:val="17"/>
        </w:rPr>
        <w:t xml:space="preserve">Zitiervorschlag: § 6 KI-MIG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https://recht.nulegal.eu/gesetze/KI-MIG/6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