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KI-MIG — Zuständige Marktüberwachungsbehörden</w:t>
      </w:r>
    </w:p>
    <w:p>
      <w:r>
        <w:rPr>
          <w:color w:val="555555"/>
          <w:sz w:val="18"/>
        </w:rPr>
        <w:t xml:space="preserve">KI-Marktüberwachungs-und-Innovationsförderungs-Gesetz</w:t>
      </w:r>
    </w:p>
    <w:p>
      <w:r>
        <w:rPr>
          <w:color w:val="555555"/>
          <w:sz w:val="18"/>
        </w:rPr>
        <w:t xml:space="preserve">Stand: 30.07.2026 (konsolidierte Textfassung, kein amtliches Inkrafttretensdatum)</w:t>
      </w:r>
    </w:p>
    <w:p>
      <w:r>
        <w:t xml:space="preserve">(1) Die Bundesnetzagentur ist die für die Einhaltung der Verordnung (EU) 2024/1689 zuständige Marktüberwachungsbehörde, soweit in diesem Gesetz nichts anderes bestimmt ist.</w:t>
      </w:r>
    </w:p>
    <w:p>
      <w:r>
        <w:t xml:space="preserve">(2) Die Behörden, die durch Bundes- oder Landesrecht zu Marküberwachungsbehörden zur Ausführung der in Anhang I Abschnitt A der Verordnung (EU) 2024/1689 genannten Harmonisierungsrechtsvorschriften bestimmt wurden, nehmen auch die Aufgaben als zuständige Marktüberwachungsbehörden gemäß der Verordnung (EU) 2024/1689 wahr, wenn KI-Systeme betroffen sind, die mit solchen Produkten in Zusammenhang stehen, auf die die im Anhang I Abschnitt A genannten Vorschriften anzuwenden sind.</w:t>
      </w:r>
    </w:p>
    <w:p>
      <w:r>
        <w:t xml:space="preserve">(3) Die Bundesanstalt für Finanzdienstleistungsaufsicht ist die zuständige Marktüberwachungsbehörde für in direktem Zusammenhang mit einer regulierten Finanztätigkeit stehende KI-Systeme, die durch folgende, von der Bundesanstalt für Finanzdienstleistungsaufsicht beaufsichtigte Unternehmen in Verkehr gebracht, in Betrieb genommen oder verwendet werden:</w:t>
      </w:r>
    </w:p>
    <w:p>
      <w:pPr>
        <w:ind w:left="420"/>
      </w:pPr>
      <w:r>
        <w:t xml:space="preserve">1. Institute nach § 1 Absatz 1b des Kreditwesengesetzes in der Fassung der Bekanntmachung vom 9. September 1998 (BGBl. I S. 2776), das zuletzt durch Artikel 9 des Gesetzes vom 12. Mai 2026 (BGBl. 2026 I Nr. 139) geändert worden ist,</w:t>
      </w:r>
    </w:p>
    <w:p>
      <w:pPr>
        <w:ind w:left="420"/>
      </w:pPr>
      <w:r>
        <w:t xml:space="preserve">2. Emittenten vermögenswertereferenzierter Token nach Artikel 3 Absatz 1 Nummer 6 der Durchführungsverordnung (EU) 2023/1114,</w:t>
      </w:r>
    </w:p>
    <w:p>
      <w:pPr>
        <w:ind w:left="420"/>
      </w:pPr>
      <w:r>
        <w:t xml:space="preserve">3. Anbieter von Kryptowerte-Dienstleistungen nach Artikel 3 Absatz 1 Nummer 15 der Verordnung (EU) 2023/1114,</w:t>
      </w:r>
    </w:p>
    <w:p>
      <w:pPr>
        <w:ind w:left="420"/>
      </w:pPr>
      <w:r>
        <w:t xml:space="preserve">4. Investmentholdinggesellschaften nach § 2 Absatz 27 des Wertpapierinstitutsgesetzes vom 12. Mai 2021 (BGBl. I S. 990), das zuletzt durch Artikel 9 des Gesetzes vom 9. April 2026 (BGBl. 2026 I Nr. 97) geändert worden ist,</w:t>
      </w:r>
    </w:p>
    <w:p>
      <w:pPr>
        <w:ind w:left="420"/>
      </w:pPr>
      <w:r>
        <w:t xml:space="preserve">5. Finanzholdinggesellschaften nach § 1 Absatz 35 des Kreditwesengesetzes in Verbindung mit Artikel 4 Absatz 1 Nummer 20 der Verordnung (EU) Nr. 575/2013,</w:t>
      </w:r>
    </w:p>
    <w:p>
      <w:pPr>
        <w:ind w:left="420"/>
      </w:pPr>
      <w:r>
        <w:t xml:space="preserve">6. gemischte Finanzholdinggesellschaften nach § 1 Absatz 35 des Kreditwesengesetzes in Verbindung mit Artikel 4 Absatz 1 Nummer 21 der Verordnung (EU) Nr. 575/2013,</w:t>
      </w:r>
    </w:p>
    <w:p>
      <w:pPr>
        <w:ind w:left="420"/>
      </w:pPr>
      <w:r>
        <w:t xml:space="preserve">7. Kreditdienstleistungsinstitute im Sinne des § 2 Absatz 2 des Kreditzweitmarktgesetzes vom 22. Dezember 2023 (BGBl. 2023 I Nr. 411, S. 2), das durch Artikel 20 des Gesetzes vom 25. März 2026 (BGBl. 2026 I Nr. 81) geändert worden ist,</w:t>
      </w:r>
    </w:p>
    <w:p>
      <w:pPr>
        <w:ind w:left="420"/>
      </w:pPr>
      <w:r>
        <w:t xml:space="preserve">8. Zahlungsinstitute im Sinne des § 1 Absatz 1 Satz 1 Nummer 1 des Zahlungsdiensteaufsichtsgesetzes vom 17. Juli 2017 (BGBl. I S. 2446; 2019 I S. 1113), das zuletzt durch Artikel 17 des Gesetzes vom 25. März 2026 (BGBl. 2026 I Nr. 81) geändert worden ist,</w:t>
      </w:r>
    </w:p>
    <w:p>
      <w:pPr>
        <w:ind w:left="420"/>
      </w:pPr>
      <w:r>
        <w:t xml:space="preserve">9. E-Geld-Institute im Sinne des § 1 Absatz 2 Satz 1 Nummer 1 des Zahlungsdiensteaufsichtsgesetzes,</w:t>
      </w:r>
    </w:p>
    <w:p>
      <w:pPr>
        <w:ind w:left="420"/>
      </w:pPr>
      <w:r>
        <w:t xml:space="preserve">10. Wertpapierinstitute im Sinne des § 2 Absatz 1 des Wertpapierinstitutsgesetzes,</w:t>
      </w:r>
    </w:p>
    <w:p>
      <w:pPr>
        <w:ind w:left="420"/>
      </w:pPr>
      <w:r>
        <w:t xml:space="preserve">11. Datenbereitstellungsdienste im Sinne des § 1 Absatz 3a des Kreditwesengesetzes,</w:t>
      </w:r>
    </w:p>
    <w:p>
      <w:pPr>
        <w:ind w:left="420"/>
      </w:pPr>
      <w:r>
        <w:t xml:space="preserve">12. Schwarmfinanzierungsdienstleister im Sinne des Artikels 2 Absatz 1 Buchstabe e der Verordnung (EU) 2020/1503,</w:t>
      </w:r>
    </w:p>
    <w:p>
      <w:pPr>
        <w:ind w:left="420"/>
      </w:pPr>
      <w:r>
        <w:t xml:space="preserve">13. zentrale Gegenparteien im Sinne des § 1 Absatz 31 des Kreditwesengesetzes,</w:t>
      </w:r>
    </w:p>
    <w:p>
      <w:pPr>
        <w:ind w:left="420"/>
      </w:pPr>
      <w:r>
        <w:t xml:space="preserve">14. Zentralverwahrer im Sinne des § 1 Absatz 6 des Kreditwesengesetzes,</w:t>
      </w:r>
    </w:p>
    <w:p>
      <w:pPr>
        <w:ind w:left="420"/>
      </w:pPr>
      <w:r>
        <w:t xml:space="preserve">15. Verwaltungsgesellschaften im Sinne des § 1 Absatz 14 des Kapitalanlagegesetzbuches vom 4. Juli 2013 (BGBl. I S. 1981), das zuletzt durch Artikel 3 des Gesetzes vom 9. April 2026 (BGBl. 2026 I Nr. 97) geändert worden ist,</w:t>
      </w:r>
    </w:p>
    <w:p>
      <w:pPr>
        <w:ind w:left="420"/>
      </w:pPr>
      <w:r>
        <w:t xml:space="preserve">16. Versicherungsunternehmen im Sinne des § 7 Nummer 33 und 34 des Versicherungsaufsichtsgesetzes vom 1. April 2015 (BGBl. I S. 434), das zuletzt durch Artikel 25 des Gesetzes vom 25. März 2026 (BGBl. 2026 I Nr. 81) geändert worden ist,</w:t>
      </w:r>
    </w:p>
    <w:p>
      <w:pPr>
        <w:ind w:left="420"/>
      </w:pPr>
      <w:r>
        <w:t xml:space="preserve">17. Pensionsfonds im Sinne des § 236 Absatz 1 Satz 1 des Versicherungsaufsichtsgesetzes,</w:t>
      </w:r>
    </w:p>
    <w:p>
      <w:pPr>
        <w:ind w:left="420"/>
      </w:pPr>
      <w:r>
        <w:t xml:space="preserve">18. separate Abrechnungsverbände der öffentlich-rechtlichen Versorgungseinrichtungen, die im Wege der freiwilligen Versicherung Leistungen der Altersvorsorge anbieten, gemäß § 2 Absatz 1 des Versicherungsaufsichtsgesetzes,</w:t>
      </w:r>
    </w:p>
    <w:p>
      <w:pPr>
        <w:ind w:left="420"/>
      </w:pPr>
      <w:r>
        <w:t xml:space="preserve">19. Versicherungs-Holdinggesellschaften im Sinne des § 7 Nummer 31 des Versicherungsaufsichtsgesetzes sowie Unternehmen im Sinne des § 293 Absatz 4 des Versicherungsaufsichtsgesetzes,</w:t>
      </w:r>
    </w:p>
    <w:p>
      <w:pPr>
        <w:ind w:left="420"/>
      </w:pPr>
      <w:r>
        <w:t xml:space="preserve">20. gemischte Versicherungs-Holdinggesellschaften im Sinne des § 7 Nummer 11 des Versicherungsaufsichtsgesetzes,</w:t>
      </w:r>
    </w:p>
    <w:p>
      <w:pPr>
        <w:ind w:left="420"/>
      </w:pPr>
      <w:r>
        <w:t xml:space="preserve">21. gemischte Finanzholding-Gesellschaften im Sinne des § 7 Nummer 10 des Versicherungsaufsichtsgesetzes,</w:t>
      </w:r>
    </w:p>
    <w:p>
      <w:pPr>
        <w:ind w:left="420"/>
      </w:pPr>
      <w:r>
        <w:t xml:space="preserve">22. Versicherungs-Zweckgesellschaften im Sinne des § 168 Absatz 1 Satz 1 des Versicherungsaufsichtsgesetzes,</w:t>
      </w:r>
    </w:p>
    <w:p>
      <w:pPr>
        <w:ind w:left="420"/>
      </w:pPr>
      <w:r>
        <w:t xml:space="preserve">23. Sicherungsfonds gemäß § 223 Absatz 1 Satz 1 des Versicherungsaufsichtsgesetzes sowie juristische Personen des Privatrechts, denen Aufgaben und Befugnisse eines oder beider Sicherungsfonds gemäß § 224 des Versicherungsaufsichtsgesetzes übertragen worden sind,</w:t>
      </w:r>
    </w:p>
    <w:p>
      <w:pPr>
        <w:ind w:left="420"/>
      </w:pPr>
      <w:r>
        <w:t xml:space="preserve">24. den Pensions-Sicherungs-Verein Versicherungsverein auf Gegenseitigkeit im Sinne des § 14 Absatz 1 des Betriebsrentengesetzes vom 19. Dezember 1974 (BGBl. I S. 3610), das zuletzt durch Artikel 1 des Gesetzes vom 16. Januar 2026 (BGBl. 2026 I Nr. 14) geändert worden ist, oder</w:t>
      </w:r>
    </w:p>
    <w:p>
      <w:pPr>
        <w:ind w:left="420"/>
      </w:pPr>
      <w:r>
        <w:t xml:space="preserve">25. Niederlassungen von Einrichtungen der betrieblichen Altersversorgung im Sinne des Artikels 6 Nummer 1 der Richtlinie (EU) 2016/2341, die ihren Sitz in einem Drittstaat haben.</w:t>
      </w:r>
    </w:p>
    <w:p>
      <w:r>
        <w:t xml:space="preserve">In den Fällen, in denen die Europäische Zentralbank zuständige Aufsichtsbehörde gemäß Artikel 4 Absatz 1 Buchstabe a bis i der Verordnung (EU) Nr. 1024/2013 für ein in der Bundesrepublik Deutschland niedergelassenes Kreditinstitut oder gemäß Artikel 4 Absatz 2 der Verordnung (EU) Nr. 1024/2013 für eine in der Bundesrepublik Deutschland errichtete Zweigstelle ist, ist die Bundesanstalt für Finanzdienstleistungsaufsicht zuständige Marktüberwachungsbehörde gemäß der Verordnung (EU) 2024/1689 für in direktem Zusammenhang mit einer regulierten Finanztätigkeit stehende KI-Systeme. Die Bundesanstalt für Finanzdienstleistungsaufsicht ist unter den Voraussetzungen des Satzes 1 auch zuständige Marktüberwachungsbehörde für in direktem Zusammenhang mit einer regulierten Finanztätigkeit stehende KI-Systeme, soweit die Zuständigkeit für die Beaufsichtigung gemäß Artikel 43 Absatz 7 oder Artikel 44 Absatz 4 der Verordnung (EU) 2023/1114 in Bezug auf den Emittenten eines signifikanten vermögenswertereferenzierten Tokens auf die Europäische Bankenaufsichtsbehörde übertragen ist und der Emittent weiterhin im Inland geschäftsansässig ist. Zudem ist die Bundesanstalt für Finanzdienstleistungsaufsicht zuständige Marktüberwachungsbehörde für in direktem Zusammenhang mit einer regulierten Finanztätigkeit stehende Hochrisiko-KI-Systeme der Versorgungsanstalt des Bundes und der Länder.</w:t>
      </w:r>
    </w:p>
    <w:p>
      <w:r>
        <w:t xml:space="preserve">(4) Steht das Inverkehrbringen, die Inbetriebnahme oder die Verwendung eines KI-Systems in direktem Zusammenhang mit einer regulierten Finanztätigkeit, welche von einem Finanzinstitut erbracht wird, das nicht von der Bundesanstalt für Finanzdienstleistungsaufsicht nach Absatz 3 überwacht wird, so obliegt die Marktüberwachung derjenigen Aufsichtsbehörde, die gemäß Gesetz oder aufgrund entsprechender Vereinbarung zwischen ihr und der Bundesanstalt für Finanzdienstleistungsaufsicht zuständige Finanzaufsichtsbehörde ist. Satz 1 gilt nicht für Gewerbetreibende, die Tätigkeiten nach den §§ 34d, 34f, 34h, 34i und 34k der Gewerbeordnung ausüben.</w:t>
      </w:r>
    </w:p>
    <w:p>
      <w:r>
        <w:t xml:space="preserve">(5) Vorbehaltlich des Absatzes 6 wird bei der Bundesnetzagentur gemäß § 4 eine unabhängige KI-Marktüberwachungskammer zur Marktüberwachung der folgenden KI-Systeme eingerichtet:</w:t>
      </w:r>
    </w:p>
    <w:p>
      <w:pPr>
        <w:ind w:left="420"/>
      </w:pPr>
      <w:r>
        <w:t xml:space="preserve">1. Hochrisiko-KI-Systeme nach Artikel 6 Absatz 2 in Verbindung mit Anhang III Nummer 1 der Verordnung (EU) 2024/1689, sofern sie für Strafverfolgungszwecke, Grenzmanagement und Justiz und Demokratie eingesetzt werden, sowie</w:t>
      </w:r>
    </w:p>
    <w:p>
      <w:pPr>
        <w:ind w:left="420"/>
      </w:pPr>
      <w:r>
        <w:t xml:space="preserve">2. Hochrisiko-KI-Systeme nach Artikel 6 Absatz 2 in Verbindung mit Anhang III Nummer 6, 7 und 8 der Verordnung (EU) 2024/1689.</w:t>
      </w:r>
    </w:p>
    <w:p>
      <w:r>
        <w:t xml:space="preserve">(6) Für die Fälle, in denen öffentliche Stellen der Länder im Sinne des § 2 Absatz 2 und 3 des Bundesdatenschutzgesetzes vom 30. Juni 2017 (BGBl. I S. 2097), das zuletzt durch Artikel 3 des Gesetzes vom 12. Mai 2026 (BGBl. 2026 I Nr. 139) geändert worden ist, KI-Systeme in Verkehr bringen, in Betrieb nehmen oder verwenden, obliegt die Marktüberwachung den nach Landesrecht zuständigen Behörden. Für die Koordinierung der Zusammenarbeit durch das Koordinierungs- und Kompetenzzentrum nach § 5 Satz 2 Nummer 2 und die zentrale Beschwerdestelle nach § 8 können die Länder einheitliche Ansprechpartner benennen.</w:t>
      </w:r>
    </w:p>
    <w:p>
      <w:r>
        <w:t xml:space="preserve">(7) Sieht die Bundesnetzagentur Grund zur Annahme, dass eine Bundesfinanzbehörde nach § 1 des Finanzverwaltungsgesetzes, die KI-Systeme bei der Verwaltung von Abgabenangelegenheiten in Verkehr bringt, in Betrieb nimmt oder verwendet, gegen die Verordnung (EU) 2024/1689 verstößt, darf sie ihre Durchsetzungsbefugnisse nur im Einvernehmen mit dem Bundesministerium der Finanzen ausüben. Gleiches gilt für die Ausübung solcher Durchsetzungsbefugnisse gegenüber der Versorgungsanstalt des Bundes und der Länder. Für die Erteilung des Einvernehmens kann sie dem Bundesministerium der Finanzen eine angemessene Frist setzen. Wird bis zum Ablauf dieser Frist kein Einvernehmen erzielt, geht die Zuständigkeit für die Marktüberwachung bezüglich dieses Sachverhalts von der Bundesnetzagentur auf das Bundesministerium der Finanzen über.</w:t>
      </w:r>
    </w:p>
    <w:p>
      <w:r>
        <w:t xml:space="preserve">(8) Für die Fälle, in denen Mediendienstanbieter im Sinne des Artikels 2 Nummer 2 der Verordnung (EU) 2024/1083 KI-Systeme bei der Veranstaltung, dem Angebot, der Verbreitung und der Zugänglichmachung von Mediendiensten zu journalistischen Zwecken oder zu Werbezwecken in Verkehr bringen, in Betrieb nehmen oder verwenden, obliegt die Marktüberwachung den nach Landesrecht zuständigen Behörden. Bei der Deutschen Welle richtet sich die Aufsicht über die Einhaltung der Verordnung (EU) 2024/1689 in dem in Satz 1 benannten Bereich abweichend von Satz 1 nach dem Deutsche-Welle-Gesetz sowie den aufsichtsrechtlichen Bestimmungen der Deutschen Welle. Für die Koordinierung der Zusammenarbeit durch das Koordinierungs- und Kompetenzzentrum nach § 5 Satz 2 Nummer 2 und die zentrale Beschwerdestelle nach § 8 können die Länder einheitliche Ansprechpartner benennen.</w:t>
      </w:r>
    </w:p>
    <w:p>
      <w:r>
        <w:t xml:space="preserve">(9) Die nach den Absätzen 1 bis 7 zuständigen Behörden können Sachverständige des wissenschaftlichen Gremiums (Artikel 68 der Verordnung (EU) 2024/1689) gemäß Artikel 69 der Verordnung (EU) 2024/1689 hinzuziehen.</w:t>
      </w:r>
    </w:p>
    <w:p>
      <w:r>
        <w:rPr>
          <w:color w:val="555555"/>
          <w:sz w:val="17"/>
        </w:rPr>
        <w:t xml:space="preserve">Zitiervorschlag: § 2 KI-MIG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https://recht.nulegal.eu/gesetze/KI-MIG/2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