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18 KI-MIG — Aufbewahrungspflichten</w:t>
      </w:r>
    </w:p>
    <w:p>
      <w:r>
        <w:rPr>
          <w:color w:val="555555"/>
          <w:sz w:val="18"/>
        </w:rPr>
        <w:t xml:space="preserve">KI-Marktüberwachungs-und-Innovationsförderungs-Gesetz</w:t>
      </w:r>
    </w:p>
    <w:p>
      <w:r>
        <w:rPr>
          <w:color w:val="555555"/>
          <w:sz w:val="18"/>
        </w:rPr>
        <w:t xml:space="preserve">Stand: 30.07.2026 (konsolidierte Textfassung, kein amtliches Inkrafttretensdatum)</w:t>
      </w:r>
    </w:p>
    <w:p>
      <w:r>
        <w:t xml:space="preserve">Stellt ein Anbieter nach Artikel 3 Nummer 3 der Verordnung (EU) 2024/1689 oder ein in Deutschland niedergelassener Bevollmächtigter nach Artikel 3 Nummer 5 der Verordnung (EU) 2024/1689 seine Geschäftstätigkeit ein, so hat der für die Liquidation oder Auflösung der juristischen Person Verantwortliche die Pflicht aus Artikel 18 Absatz 1 der Verordnung (EU) 2024/1689.</w:t>
      </w:r>
    </w:p>
    <w:p>
      <w:r>
        <w:rPr>
          <w:color w:val="555555"/>
          <w:sz w:val="17"/>
        </w:rPr>
        <w:t xml:space="preserve">Zitiervorschlag: § 18 KI-MIG</w:t>
      </w:r>
    </w:p>
    <w:p>
      <w:r>
        <w:rPr>
          <w:color w:val="555555"/>
          <w:sz w:val="17"/>
        </w:rPr>
        <w:t xml:space="preserve">Quelle: Bundesamt für Justiz, abgerufen 30.07.2026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https://recht.nulegal.eu/gesetze/KI-MIG/18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